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69F" w:rsidRDefault="00C32ED0">
      <w:pPr>
        <w:pStyle w:val="3"/>
        <w:spacing w:line="400" w:lineRule="exact"/>
        <w:ind w:firstLineChars="0" w:firstLine="0"/>
        <w:jc w:val="left"/>
        <w:rPr>
          <w:rFonts w:ascii="黑体" w:eastAsia="黑体" w:hAnsi="黑体" w:cs="方正小标宋简体"/>
          <w:color w:val="000000"/>
          <w:sz w:val="28"/>
          <w:szCs w:val="28"/>
        </w:rPr>
      </w:pPr>
      <w:r>
        <w:rPr>
          <w:rFonts w:ascii="黑体" w:eastAsia="黑体" w:hAnsi="黑体" w:cs="方正小标宋简体" w:hint="eastAsia"/>
          <w:color w:val="000000"/>
          <w:sz w:val="28"/>
          <w:szCs w:val="28"/>
        </w:rPr>
        <w:t>附件1</w:t>
      </w:r>
    </w:p>
    <w:p w:rsidR="00AC069F" w:rsidRPr="009C5DF9" w:rsidRDefault="00547020" w:rsidP="009C5DF9">
      <w:pPr>
        <w:pStyle w:val="3"/>
        <w:spacing w:line="480" w:lineRule="exact"/>
        <w:ind w:firstLineChars="0" w:firstLine="0"/>
        <w:jc w:val="center"/>
        <w:rPr>
          <w:rFonts w:ascii="宋体" w:hAnsi="宋体" w:cs="宋体"/>
          <w:b/>
          <w:bCs/>
          <w:color w:val="000000"/>
          <w:sz w:val="44"/>
          <w:szCs w:val="44"/>
        </w:rPr>
      </w:pPr>
      <w:r w:rsidRPr="009C5DF9">
        <w:rPr>
          <w:rFonts w:ascii="宋体" w:hAnsi="宋体" w:cs="宋体" w:hint="eastAsia"/>
          <w:b/>
          <w:bCs/>
          <w:color w:val="000000"/>
          <w:sz w:val="44"/>
          <w:szCs w:val="44"/>
        </w:rPr>
        <w:t>各单位</w:t>
      </w:r>
      <w:r w:rsidR="00C32ED0" w:rsidRPr="009C5DF9">
        <w:rPr>
          <w:rFonts w:ascii="宋体" w:hAnsi="宋体" w:cs="宋体" w:hint="eastAsia"/>
          <w:b/>
          <w:bCs/>
          <w:color w:val="000000"/>
          <w:sz w:val="44"/>
          <w:szCs w:val="44"/>
        </w:rPr>
        <w:t>报</w:t>
      </w:r>
      <w:r w:rsidRPr="009C5DF9">
        <w:rPr>
          <w:rFonts w:ascii="宋体" w:hAnsi="宋体" w:cs="宋体" w:hint="eastAsia"/>
          <w:b/>
          <w:bCs/>
          <w:color w:val="000000"/>
          <w:sz w:val="44"/>
          <w:szCs w:val="44"/>
        </w:rPr>
        <w:t>送城市监测</w:t>
      </w:r>
      <w:r w:rsidR="00C32ED0" w:rsidRPr="009C5DF9">
        <w:rPr>
          <w:rFonts w:ascii="宋体" w:hAnsi="宋体" w:cs="宋体" w:hint="eastAsia"/>
          <w:b/>
          <w:bCs/>
          <w:color w:val="000000"/>
          <w:sz w:val="44"/>
          <w:szCs w:val="44"/>
        </w:rPr>
        <w:t>数据项表</w:t>
      </w:r>
    </w:p>
    <w:p w:rsidR="00AC069F" w:rsidRDefault="00AC069F">
      <w:pPr>
        <w:pStyle w:val="3"/>
        <w:spacing w:line="400" w:lineRule="exact"/>
        <w:ind w:firstLineChars="0" w:firstLine="0"/>
        <w:jc w:val="center"/>
        <w:rPr>
          <w:rFonts w:ascii="方正小标宋简体" w:eastAsia="方正小标宋简体" w:hAnsi="方正小标宋简体" w:cs="方正小标宋简体"/>
          <w:color w:val="000000"/>
          <w:sz w:val="40"/>
          <w:szCs w:val="40"/>
        </w:rPr>
      </w:pPr>
    </w:p>
    <w:tbl>
      <w:tblPr>
        <w:tblStyle w:val="a8"/>
        <w:tblW w:w="8364" w:type="dxa"/>
        <w:tblInd w:w="108" w:type="dxa"/>
        <w:tblLayout w:type="fixed"/>
        <w:tblLook w:val="04A0" w:firstRow="1" w:lastRow="0" w:firstColumn="1" w:lastColumn="0" w:noHBand="0" w:noVBand="1"/>
      </w:tblPr>
      <w:tblGrid>
        <w:gridCol w:w="709"/>
        <w:gridCol w:w="2126"/>
        <w:gridCol w:w="2268"/>
        <w:gridCol w:w="1985"/>
        <w:gridCol w:w="1276"/>
      </w:tblGrid>
      <w:tr w:rsidR="00FC7D0A" w:rsidTr="004932F4">
        <w:trPr>
          <w:trHeight w:val="578"/>
        </w:trPr>
        <w:tc>
          <w:tcPr>
            <w:tcW w:w="709" w:type="dxa"/>
            <w:vAlign w:val="center"/>
          </w:tcPr>
          <w:p w:rsidR="00FC7D0A" w:rsidRDefault="00FC7D0A" w:rsidP="00FC7D0A">
            <w:pPr>
              <w:spacing w:line="400" w:lineRule="exact"/>
              <w:jc w:val="center"/>
              <w:rPr>
                <w:rFonts w:asciiTheme="minorEastAsia" w:hAnsiTheme="minorEastAsia" w:cs="仿宋_GB2312"/>
                <w:b/>
                <w:sz w:val="24"/>
                <w:szCs w:val="28"/>
              </w:rPr>
            </w:pPr>
            <w:r>
              <w:rPr>
                <w:rFonts w:asciiTheme="minorEastAsia" w:hAnsiTheme="minorEastAsia" w:cs="仿宋_GB2312" w:hint="eastAsia"/>
                <w:b/>
                <w:sz w:val="24"/>
                <w:szCs w:val="28"/>
              </w:rPr>
              <w:t>序号</w:t>
            </w:r>
          </w:p>
        </w:tc>
        <w:tc>
          <w:tcPr>
            <w:tcW w:w="2126" w:type="dxa"/>
            <w:vAlign w:val="center"/>
          </w:tcPr>
          <w:p w:rsidR="00FC7D0A" w:rsidRDefault="00FC7D0A">
            <w:pPr>
              <w:spacing w:line="400" w:lineRule="exact"/>
              <w:jc w:val="center"/>
              <w:rPr>
                <w:rFonts w:asciiTheme="minorEastAsia" w:hAnsiTheme="minorEastAsia" w:cs="仿宋_GB2312"/>
                <w:b/>
                <w:sz w:val="24"/>
                <w:szCs w:val="28"/>
              </w:rPr>
            </w:pPr>
            <w:r>
              <w:rPr>
                <w:rFonts w:asciiTheme="minorEastAsia" w:hAnsiTheme="minorEastAsia" w:cs="仿宋_GB2312" w:hint="eastAsia"/>
                <w:b/>
                <w:sz w:val="24"/>
                <w:szCs w:val="28"/>
              </w:rPr>
              <w:t>数据项</w:t>
            </w:r>
          </w:p>
        </w:tc>
        <w:tc>
          <w:tcPr>
            <w:tcW w:w="2268" w:type="dxa"/>
            <w:vAlign w:val="center"/>
          </w:tcPr>
          <w:p w:rsidR="00FC7D0A" w:rsidRDefault="00FC7D0A">
            <w:pPr>
              <w:spacing w:line="400" w:lineRule="exact"/>
              <w:jc w:val="center"/>
              <w:rPr>
                <w:rFonts w:asciiTheme="minorEastAsia" w:hAnsiTheme="minorEastAsia" w:cs="仿宋_GB2312"/>
                <w:b/>
                <w:sz w:val="24"/>
                <w:szCs w:val="28"/>
              </w:rPr>
            </w:pPr>
            <w:r>
              <w:rPr>
                <w:rFonts w:asciiTheme="minorEastAsia" w:hAnsiTheme="minorEastAsia" w:cs="仿宋_GB2312" w:hint="eastAsia"/>
                <w:b/>
                <w:sz w:val="24"/>
                <w:szCs w:val="28"/>
              </w:rPr>
              <w:t>报送单位</w:t>
            </w:r>
          </w:p>
        </w:tc>
        <w:tc>
          <w:tcPr>
            <w:tcW w:w="1985" w:type="dxa"/>
            <w:vAlign w:val="center"/>
          </w:tcPr>
          <w:p w:rsidR="00FC7D0A" w:rsidRDefault="00FC7D0A">
            <w:pPr>
              <w:spacing w:line="400" w:lineRule="exact"/>
              <w:jc w:val="center"/>
              <w:rPr>
                <w:rFonts w:asciiTheme="minorEastAsia" w:hAnsiTheme="minorEastAsia" w:cs="仿宋_GB2312"/>
                <w:b/>
                <w:sz w:val="24"/>
                <w:szCs w:val="28"/>
              </w:rPr>
            </w:pPr>
            <w:r>
              <w:rPr>
                <w:rFonts w:asciiTheme="minorEastAsia" w:hAnsiTheme="minorEastAsia" w:cs="仿宋_GB2312" w:hint="eastAsia"/>
                <w:b/>
                <w:sz w:val="24"/>
                <w:szCs w:val="28"/>
              </w:rPr>
              <w:t>说明</w:t>
            </w:r>
          </w:p>
        </w:tc>
        <w:tc>
          <w:tcPr>
            <w:tcW w:w="1276" w:type="dxa"/>
            <w:vAlign w:val="center"/>
          </w:tcPr>
          <w:p w:rsidR="00FC7D0A" w:rsidRDefault="00FC7D0A" w:rsidP="00FC7D0A">
            <w:pPr>
              <w:spacing w:line="400" w:lineRule="exact"/>
              <w:jc w:val="center"/>
              <w:rPr>
                <w:rFonts w:asciiTheme="minorEastAsia" w:hAnsiTheme="minorEastAsia" w:cs="仿宋_GB2312"/>
                <w:b/>
                <w:sz w:val="24"/>
                <w:szCs w:val="28"/>
              </w:rPr>
            </w:pPr>
            <w:r>
              <w:rPr>
                <w:rFonts w:asciiTheme="minorEastAsia" w:hAnsiTheme="minorEastAsia" w:cs="仿宋_GB2312" w:hint="eastAsia"/>
                <w:b/>
                <w:sz w:val="24"/>
                <w:szCs w:val="28"/>
              </w:rPr>
              <w:t>报送方式</w:t>
            </w:r>
          </w:p>
        </w:tc>
      </w:tr>
      <w:tr w:rsidR="00FC7D0A" w:rsidTr="004932F4">
        <w:trPr>
          <w:trHeight w:val="1355"/>
        </w:trPr>
        <w:tc>
          <w:tcPr>
            <w:tcW w:w="709" w:type="dxa"/>
            <w:vAlign w:val="center"/>
          </w:tcPr>
          <w:p w:rsidR="00FC7D0A" w:rsidRDefault="00FC7D0A"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t>1</w:t>
            </w:r>
          </w:p>
        </w:tc>
        <w:tc>
          <w:tcPr>
            <w:tcW w:w="2126" w:type="dxa"/>
            <w:vAlign w:val="center"/>
          </w:tcPr>
          <w:p w:rsidR="00FC7D0A" w:rsidRDefault="00DD2504">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红黑</w:t>
            </w:r>
            <w:r w:rsidR="00FC7D0A">
              <w:rPr>
                <w:rFonts w:asciiTheme="minorEastAsia" w:hAnsiTheme="minorEastAsia" w:cs="仿宋_GB2312" w:hint="eastAsia"/>
                <w:sz w:val="24"/>
                <w:szCs w:val="28"/>
              </w:rPr>
              <w:t>名单</w:t>
            </w:r>
          </w:p>
        </w:tc>
        <w:tc>
          <w:tcPr>
            <w:tcW w:w="2268" w:type="dxa"/>
            <w:vAlign w:val="center"/>
          </w:tcPr>
          <w:p w:rsidR="00FC7D0A" w:rsidRDefault="003352B8" w:rsidP="005E5587">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报送单位名单见附件3</w:t>
            </w:r>
          </w:p>
        </w:tc>
        <w:tc>
          <w:tcPr>
            <w:tcW w:w="1985" w:type="dxa"/>
            <w:vAlign w:val="center"/>
          </w:tcPr>
          <w:p w:rsidR="00FC7D0A" w:rsidRDefault="003352B8" w:rsidP="003352B8">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市本级单位</w:t>
            </w:r>
            <w:r w:rsidR="00A6476D" w:rsidRPr="00A6476D">
              <w:rPr>
                <w:rFonts w:asciiTheme="minorEastAsia" w:hAnsiTheme="minorEastAsia" w:cs="仿宋_GB2312" w:hint="eastAsia"/>
                <w:sz w:val="24"/>
                <w:szCs w:val="28"/>
              </w:rPr>
              <w:t>纵向</w:t>
            </w:r>
            <w:r>
              <w:rPr>
                <w:rFonts w:asciiTheme="minorEastAsia" w:hAnsiTheme="minorEastAsia" w:cs="仿宋_GB2312" w:hint="eastAsia"/>
                <w:sz w:val="24"/>
                <w:szCs w:val="28"/>
              </w:rPr>
              <w:t>收集</w:t>
            </w:r>
            <w:r w:rsidR="00A6476D" w:rsidRPr="00A6476D">
              <w:rPr>
                <w:rFonts w:asciiTheme="minorEastAsia" w:hAnsiTheme="minorEastAsia" w:cs="仿宋_GB2312" w:hint="eastAsia"/>
                <w:sz w:val="24"/>
                <w:szCs w:val="28"/>
              </w:rPr>
              <w:t>各县（市、区）</w:t>
            </w:r>
            <w:r>
              <w:rPr>
                <w:rFonts w:asciiTheme="minorEastAsia" w:hAnsiTheme="minorEastAsia" w:cs="仿宋_GB2312" w:hint="eastAsia"/>
                <w:sz w:val="24"/>
                <w:szCs w:val="28"/>
              </w:rPr>
              <w:t>本领域</w:t>
            </w:r>
            <w:r w:rsidR="00DD2504">
              <w:rPr>
                <w:rFonts w:asciiTheme="minorEastAsia" w:hAnsiTheme="minorEastAsia" w:cs="仿宋_GB2312" w:hint="eastAsia"/>
                <w:sz w:val="24"/>
                <w:szCs w:val="28"/>
              </w:rPr>
              <w:t>的红黑</w:t>
            </w:r>
            <w:bookmarkStart w:id="0" w:name="_GoBack"/>
            <w:bookmarkEnd w:id="0"/>
            <w:r w:rsidR="00A6476D" w:rsidRPr="00A6476D">
              <w:rPr>
                <w:rFonts w:asciiTheme="minorEastAsia" w:hAnsiTheme="minorEastAsia" w:cs="仿宋_GB2312" w:hint="eastAsia"/>
                <w:sz w:val="24"/>
                <w:szCs w:val="28"/>
              </w:rPr>
              <w:t>名单</w:t>
            </w:r>
            <w:r>
              <w:rPr>
                <w:rFonts w:asciiTheme="minorEastAsia" w:hAnsiTheme="minorEastAsia" w:cs="仿宋_GB2312" w:hint="eastAsia"/>
                <w:sz w:val="24"/>
                <w:szCs w:val="28"/>
              </w:rPr>
              <w:t>，汇总后统一报送</w:t>
            </w:r>
          </w:p>
        </w:tc>
        <w:tc>
          <w:tcPr>
            <w:tcW w:w="1276" w:type="dxa"/>
            <w:vMerge w:val="restart"/>
            <w:vAlign w:val="center"/>
          </w:tcPr>
          <w:p w:rsidR="00FC7D0A" w:rsidRDefault="00FC7D0A" w:rsidP="00FC7D0A">
            <w:pPr>
              <w:spacing w:line="400" w:lineRule="exact"/>
              <w:jc w:val="left"/>
              <w:rPr>
                <w:rFonts w:asciiTheme="minorEastAsia" w:hAnsiTheme="minorEastAsia" w:cs="仿宋_GB2312"/>
                <w:sz w:val="24"/>
                <w:szCs w:val="28"/>
              </w:rPr>
            </w:pPr>
            <w:r>
              <w:rPr>
                <w:rFonts w:asciiTheme="minorEastAsia" w:hAnsiTheme="minorEastAsia" w:cs="仿宋_GB2312" w:hint="eastAsia"/>
                <w:sz w:val="24"/>
                <w:szCs w:val="28"/>
              </w:rPr>
              <w:t>按附件2格式，通过邮箱报送</w:t>
            </w:r>
          </w:p>
        </w:tc>
      </w:tr>
      <w:tr w:rsidR="00FC7D0A" w:rsidTr="004932F4">
        <w:tc>
          <w:tcPr>
            <w:tcW w:w="709" w:type="dxa"/>
            <w:vAlign w:val="center"/>
          </w:tcPr>
          <w:p w:rsidR="00FC7D0A" w:rsidRDefault="00FC7D0A"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t>2</w:t>
            </w:r>
          </w:p>
        </w:tc>
        <w:tc>
          <w:tcPr>
            <w:tcW w:w="2126" w:type="dxa"/>
            <w:vAlign w:val="center"/>
          </w:tcPr>
          <w:p w:rsidR="00FC7D0A" w:rsidRDefault="00FC7D0A">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联合奖惩案例</w:t>
            </w:r>
          </w:p>
        </w:tc>
        <w:tc>
          <w:tcPr>
            <w:tcW w:w="2268" w:type="dxa"/>
            <w:vAlign w:val="center"/>
          </w:tcPr>
          <w:p w:rsidR="00FC7D0A" w:rsidRDefault="00FC7D0A" w:rsidP="005E5587">
            <w:pPr>
              <w:spacing w:line="400" w:lineRule="exact"/>
              <w:rPr>
                <w:rFonts w:asciiTheme="minorEastAsia" w:hAnsiTheme="minorEastAsia" w:cs="仿宋_GB2312"/>
                <w:sz w:val="24"/>
                <w:szCs w:val="28"/>
              </w:rPr>
            </w:pPr>
            <w:r w:rsidRPr="00E235F8">
              <w:rPr>
                <w:rFonts w:asciiTheme="minorEastAsia" w:hAnsiTheme="minorEastAsia" w:cs="仿宋_GB2312" w:hint="eastAsia"/>
                <w:sz w:val="24"/>
                <w:szCs w:val="28"/>
              </w:rPr>
              <w:t>市本级单位、</w:t>
            </w:r>
            <w:r>
              <w:rPr>
                <w:rFonts w:asciiTheme="minorEastAsia" w:hAnsiTheme="minorEastAsia" w:cs="仿宋_GB2312" w:hint="eastAsia"/>
                <w:sz w:val="24"/>
                <w:szCs w:val="28"/>
              </w:rPr>
              <w:t>中直区直单位、各县（市、区）发改局</w:t>
            </w:r>
          </w:p>
        </w:tc>
        <w:tc>
          <w:tcPr>
            <w:tcW w:w="1985" w:type="dxa"/>
            <w:vAlign w:val="center"/>
          </w:tcPr>
          <w:p w:rsidR="00FC7D0A" w:rsidRDefault="00FC7D0A">
            <w:pPr>
              <w:spacing w:line="400" w:lineRule="exact"/>
              <w:rPr>
                <w:rFonts w:asciiTheme="minorEastAsia" w:hAnsiTheme="minorEastAsia" w:cs="仿宋_GB2312"/>
                <w:sz w:val="24"/>
                <w:szCs w:val="28"/>
              </w:rPr>
            </w:pPr>
          </w:p>
        </w:tc>
        <w:tc>
          <w:tcPr>
            <w:tcW w:w="1276" w:type="dxa"/>
            <w:vMerge/>
          </w:tcPr>
          <w:p w:rsidR="00FC7D0A" w:rsidRDefault="00FC7D0A">
            <w:pPr>
              <w:spacing w:line="400" w:lineRule="exact"/>
              <w:rPr>
                <w:rFonts w:asciiTheme="minorEastAsia" w:hAnsiTheme="minorEastAsia" w:cs="仿宋_GB2312"/>
                <w:sz w:val="24"/>
                <w:szCs w:val="28"/>
              </w:rPr>
            </w:pPr>
          </w:p>
        </w:tc>
      </w:tr>
      <w:tr w:rsidR="00FC7D0A" w:rsidTr="004932F4">
        <w:tc>
          <w:tcPr>
            <w:tcW w:w="709" w:type="dxa"/>
            <w:vAlign w:val="center"/>
          </w:tcPr>
          <w:p w:rsidR="00FC7D0A" w:rsidRDefault="00FC7D0A"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t>3</w:t>
            </w:r>
          </w:p>
        </w:tc>
        <w:tc>
          <w:tcPr>
            <w:tcW w:w="2126" w:type="dxa"/>
            <w:vAlign w:val="center"/>
          </w:tcPr>
          <w:p w:rsidR="00FC7D0A" w:rsidRDefault="00FC7D0A">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联合奖惩创新做法及信用创新做法</w:t>
            </w:r>
          </w:p>
        </w:tc>
        <w:tc>
          <w:tcPr>
            <w:tcW w:w="2268" w:type="dxa"/>
            <w:vAlign w:val="center"/>
          </w:tcPr>
          <w:p w:rsidR="00FC7D0A" w:rsidRDefault="00FC7D0A" w:rsidP="005E5587">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市本级单位、中直区直单位、各县（市、区）发改局</w:t>
            </w:r>
          </w:p>
        </w:tc>
        <w:tc>
          <w:tcPr>
            <w:tcW w:w="1985" w:type="dxa"/>
            <w:vAlign w:val="center"/>
          </w:tcPr>
          <w:p w:rsidR="00FC7D0A" w:rsidRDefault="00FC7D0A">
            <w:pPr>
              <w:spacing w:line="400" w:lineRule="exact"/>
              <w:rPr>
                <w:rFonts w:asciiTheme="minorEastAsia" w:hAnsiTheme="minorEastAsia" w:cs="仿宋_GB2312"/>
                <w:sz w:val="24"/>
                <w:szCs w:val="28"/>
              </w:rPr>
            </w:pPr>
          </w:p>
        </w:tc>
        <w:tc>
          <w:tcPr>
            <w:tcW w:w="1276" w:type="dxa"/>
            <w:vMerge/>
          </w:tcPr>
          <w:p w:rsidR="00FC7D0A" w:rsidRDefault="00FC7D0A">
            <w:pPr>
              <w:spacing w:line="400" w:lineRule="exact"/>
              <w:rPr>
                <w:rFonts w:asciiTheme="minorEastAsia" w:hAnsiTheme="minorEastAsia" w:cs="仿宋_GB2312"/>
                <w:sz w:val="24"/>
                <w:szCs w:val="28"/>
              </w:rPr>
            </w:pPr>
          </w:p>
        </w:tc>
      </w:tr>
      <w:tr w:rsidR="004932F4" w:rsidTr="00D25425">
        <w:trPr>
          <w:trHeight w:val="1133"/>
        </w:trPr>
        <w:tc>
          <w:tcPr>
            <w:tcW w:w="709" w:type="dxa"/>
            <w:vAlign w:val="center"/>
          </w:tcPr>
          <w:p w:rsidR="004932F4" w:rsidRDefault="004932F4"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t>4</w:t>
            </w:r>
          </w:p>
        </w:tc>
        <w:tc>
          <w:tcPr>
            <w:tcW w:w="2126" w:type="dxa"/>
            <w:vAlign w:val="center"/>
          </w:tcPr>
          <w:p w:rsidR="004932F4" w:rsidRDefault="004932F4">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诚信文化宣传</w:t>
            </w:r>
            <w:r w:rsidR="00D25425">
              <w:rPr>
                <w:rFonts w:asciiTheme="minorEastAsia" w:hAnsiTheme="minorEastAsia" w:cs="仿宋_GB2312" w:hint="eastAsia"/>
                <w:sz w:val="24"/>
                <w:szCs w:val="28"/>
              </w:rPr>
              <w:t>图片及</w:t>
            </w:r>
            <w:r>
              <w:rPr>
                <w:rFonts w:asciiTheme="minorEastAsia" w:hAnsiTheme="minorEastAsia" w:cs="仿宋_GB2312" w:hint="eastAsia"/>
                <w:sz w:val="24"/>
                <w:szCs w:val="28"/>
              </w:rPr>
              <w:t>资料</w:t>
            </w:r>
          </w:p>
        </w:tc>
        <w:tc>
          <w:tcPr>
            <w:tcW w:w="2268" w:type="dxa"/>
            <w:vAlign w:val="center"/>
          </w:tcPr>
          <w:p w:rsidR="004932F4" w:rsidRPr="00D25425" w:rsidRDefault="00D25425" w:rsidP="005E5587">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市本级单位、中直区直单位</w:t>
            </w:r>
          </w:p>
        </w:tc>
        <w:tc>
          <w:tcPr>
            <w:tcW w:w="1985" w:type="dxa"/>
            <w:vAlign w:val="center"/>
          </w:tcPr>
          <w:p w:rsidR="004932F4" w:rsidRDefault="004932F4">
            <w:pPr>
              <w:spacing w:line="400" w:lineRule="exact"/>
              <w:rPr>
                <w:rFonts w:asciiTheme="minorEastAsia" w:hAnsiTheme="minorEastAsia" w:cs="仿宋_GB2312"/>
                <w:sz w:val="24"/>
                <w:szCs w:val="28"/>
              </w:rPr>
            </w:pPr>
          </w:p>
        </w:tc>
        <w:tc>
          <w:tcPr>
            <w:tcW w:w="1276" w:type="dxa"/>
            <w:vMerge/>
          </w:tcPr>
          <w:p w:rsidR="004932F4" w:rsidRDefault="004932F4">
            <w:pPr>
              <w:spacing w:line="400" w:lineRule="exact"/>
              <w:rPr>
                <w:rFonts w:asciiTheme="minorEastAsia" w:hAnsiTheme="minorEastAsia" w:cs="仿宋_GB2312"/>
                <w:sz w:val="24"/>
                <w:szCs w:val="28"/>
              </w:rPr>
            </w:pPr>
          </w:p>
        </w:tc>
      </w:tr>
      <w:tr w:rsidR="004932F4" w:rsidTr="00D25425">
        <w:trPr>
          <w:trHeight w:val="1277"/>
        </w:trPr>
        <w:tc>
          <w:tcPr>
            <w:tcW w:w="709" w:type="dxa"/>
            <w:vAlign w:val="center"/>
          </w:tcPr>
          <w:p w:rsidR="004932F4" w:rsidRDefault="004932F4"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t>5</w:t>
            </w:r>
          </w:p>
        </w:tc>
        <w:tc>
          <w:tcPr>
            <w:tcW w:w="2126" w:type="dxa"/>
            <w:vAlign w:val="center"/>
          </w:tcPr>
          <w:p w:rsidR="004932F4" w:rsidRDefault="004932F4">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诚信</w:t>
            </w:r>
            <w:r w:rsidR="00D25425">
              <w:rPr>
                <w:rFonts w:asciiTheme="minorEastAsia" w:hAnsiTheme="minorEastAsia" w:cs="仿宋_GB2312" w:hint="eastAsia"/>
                <w:sz w:val="24"/>
                <w:szCs w:val="28"/>
              </w:rPr>
              <w:t>文化</w:t>
            </w:r>
            <w:r>
              <w:rPr>
                <w:rFonts w:asciiTheme="minorEastAsia" w:hAnsiTheme="minorEastAsia" w:cs="仿宋_GB2312" w:hint="eastAsia"/>
                <w:sz w:val="24"/>
                <w:szCs w:val="28"/>
              </w:rPr>
              <w:t>教育宣传</w:t>
            </w:r>
            <w:r w:rsidR="00D25425">
              <w:rPr>
                <w:rFonts w:asciiTheme="minorEastAsia" w:hAnsiTheme="minorEastAsia" w:cs="仿宋_GB2312" w:hint="eastAsia"/>
                <w:sz w:val="24"/>
                <w:szCs w:val="28"/>
              </w:rPr>
              <w:t>图片及</w:t>
            </w:r>
            <w:r>
              <w:rPr>
                <w:rFonts w:asciiTheme="minorEastAsia" w:hAnsiTheme="minorEastAsia" w:cs="仿宋_GB2312" w:hint="eastAsia"/>
                <w:sz w:val="24"/>
                <w:szCs w:val="28"/>
              </w:rPr>
              <w:t>资料</w:t>
            </w:r>
          </w:p>
        </w:tc>
        <w:tc>
          <w:tcPr>
            <w:tcW w:w="2268" w:type="dxa"/>
            <w:vAlign w:val="center"/>
          </w:tcPr>
          <w:p w:rsidR="004932F4" w:rsidRDefault="00D25425" w:rsidP="005E5587">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市教育局、人民银行梧州市中心支行</w:t>
            </w:r>
          </w:p>
        </w:tc>
        <w:tc>
          <w:tcPr>
            <w:tcW w:w="1985" w:type="dxa"/>
            <w:vAlign w:val="center"/>
          </w:tcPr>
          <w:p w:rsidR="004932F4" w:rsidRDefault="004932F4">
            <w:pPr>
              <w:spacing w:line="400" w:lineRule="exact"/>
              <w:rPr>
                <w:rFonts w:asciiTheme="minorEastAsia" w:hAnsiTheme="minorEastAsia" w:cs="仿宋_GB2312"/>
                <w:sz w:val="24"/>
                <w:szCs w:val="28"/>
              </w:rPr>
            </w:pPr>
          </w:p>
        </w:tc>
        <w:tc>
          <w:tcPr>
            <w:tcW w:w="1276" w:type="dxa"/>
            <w:vMerge/>
          </w:tcPr>
          <w:p w:rsidR="004932F4" w:rsidRDefault="004932F4">
            <w:pPr>
              <w:spacing w:line="400" w:lineRule="exact"/>
              <w:rPr>
                <w:rFonts w:asciiTheme="minorEastAsia" w:hAnsiTheme="minorEastAsia" w:cs="仿宋_GB2312"/>
                <w:sz w:val="24"/>
                <w:szCs w:val="28"/>
              </w:rPr>
            </w:pPr>
          </w:p>
        </w:tc>
      </w:tr>
      <w:tr w:rsidR="00FC7D0A" w:rsidTr="00D25425">
        <w:trPr>
          <w:trHeight w:val="2685"/>
        </w:trPr>
        <w:tc>
          <w:tcPr>
            <w:tcW w:w="709" w:type="dxa"/>
            <w:vAlign w:val="center"/>
          </w:tcPr>
          <w:p w:rsidR="00FC7D0A" w:rsidRDefault="004932F4"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t>5</w:t>
            </w:r>
          </w:p>
        </w:tc>
        <w:tc>
          <w:tcPr>
            <w:tcW w:w="2126" w:type="dxa"/>
            <w:vAlign w:val="center"/>
          </w:tcPr>
          <w:p w:rsidR="00FC7D0A" w:rsidRDefault="00FC7D0A">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统一社会信用代码转换率</w:t>
            </w:r>
          </w:p>
        </w:tc>
        <w:tc>
          <w:tcPr>
            <w:tcW w:w="2268" w:type="dxa"/>
            <w:vAlign w:val="center"/>
          </w:tcPr>
          <w:p w:rsidR="00FC7D0A" w:rsidRDefault="00FC7D0A" w:rsidP="005E5587">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市工商局、市民政局、市编委办</w:t>
            </w:r>
          </w:p>
        </w:tc>
        <w:tc>
          <w:tcPr>
            <w:tcW w:w="1985" w:type="dxa"/>
            <w:vAlign w:val="center"/>
          </w:tcPr>
          <w:p w:rsidR="00FC7D0A" w:rsidRPr="007D6766" w:rsidRDefault="00FC7D0A">
            <w:pPr>
              <w:spacing w:line="400" w:lineRule="exact"/>
              <w:rPr>
                <w:rFonts w:asciiTheme="minorEastAsia" w:hAnsiTheme="minorEastAsia" w:cs="仿宋_GB2312"/>
                <w:sz w:val="24"/>
                <w:szCs w:val="28"/>
              </w:rPr>
            </w:pPr>
            <w:r w:rsidRPr="007D6766">
              <w:rPr>
                <w:rFonts w:asciiTheme="minorEastAsia" w:hAnsiTheme="minorEastAsia" w:cs="仿宋_GB2312" w:hint="eastAsia"/>
                <w:sz w:val="24"/>
                <w:szCs w:val="28"/>
              </w:rPr>
              <w:t>统一社会信用代码存量转换率指法人和其他组织统一社会信用代码的存量赋码情况</w:t>
            </w:r>
            <w:r>
              <w:rPr>
                <w:rFonts w:asciiTheme="minorEastAsia" w:hAnsiTheme="minorEastAsia" w:cs="仿宋_GB2312" w:hint="eastAsia"/>
                <w:sz w:val="24"/>
                <w:szCs w:val="28"/>
              </w:rPr>
              <w:t>（即三证合一）</w:t>
            </w:r>
          </w:p>
        </w:tc>
        <w:tc>
          <w:tcPr>
            <w:tcW w:w="1276" w:type="dxa"/>
            <w:vMerge/>
          </w:tcPr>
          <w:p w:rsidR="00FC7D0A" w:rsidRPr="007D6766" w:rsidRDefault="00FC7D0A">
            <w:pPr>
              <w:spacing w:line="400" w:lineRule="exact"/>
              <w:rPr>
                <w:rFonts w:asciiTheme="minorEastAsia" w:hAnsiTheme="minorEastAsia" w:cs="仿宋_GB2312"/>
                <w:sz w:val="24"/>
                <w:szCs w:val="28"/>
              </w:rPr>
            </w:pPr>
          </w:p>
        </w:tc>
      </w:tr>
      <w:tr w:rsidR="00FC7D0A" w:rsidTr="00D25425">
        <w:trPr>
          <w:trHeight w:val="1542"/>
        </w:trPr>
        <w:tc>
          <w:tcPr>
            <w:tcW w:w="709" w:type="dxa"/>
            <w:vAlign w:val="center"/>
          </w:tcPr>
          <w:p w:rsidR="00FC7D0A" w:rsidRDefault="004932F4"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t>6</w:t>
            </w:r>
          </w:p>
        </w:tc>
        <w:tc>
          <w:tcPr>
            <w:tcW w:w="2126" w:type="dxa"/>
            <w:vAlign w:val="center"/>
          </w:tcPr>
          <w:p w:rsidR="00FC7D0A" w:rsidRDefault="00FC7D0A">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在梧州市注册的信用服务机构数量</w:t>
            </w:r>
          </w:p>
        </w:tc>
        <w:tc>
          <w:tcPr>
            <w:tcW w:w="2268" w:type="dxa"/>
            <w:vAlign w:val="center"/>
          </w:tcPr>
          <w:p w:rsidR="00FC7D0A" w:rsidRDefault="00FC7D0A" w:rsidP="005E5587">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市工商局</w:t>
            </w:r>
          </w:p>
        </w:tc>
        <w:tc>
          <w:tcPr>
            <w:tcW w:w="1985" w:type="dxa"/>
            <w:vAlign w:val="center"/>
          </w:tcPr>
          <w:p w:rsidR="00FC7D0A" w:rsidRDefault="00FC7D0A">
            <w:pPr>
              <w:spacing w:line="400" w:lineRule="exact"/>
              <w:rPr>
                <w:rFonts w:asciiTheme="minorEastAsia" w:hAnsiTheme="minorEastAsia" w:cs="仿宋_GB2312"/>
                <w:sz w:val="24"/>
                <w:szCs w:val="28"/>
              </w:rPr>
            </w:pPr>
          </w:p>
        </w:tc>
        <w:tc>
          <w:tcPr>
            <w:tcW w:w="1276" w:type="dxa"/>
            <w:vMerge/>
          </w:tcPr>
          <w:p w:rsidR="00FC7D0A" w:rsidRDefault="00FC7D0A">
            <w:pPr>
              <w:spacing w:line="400" w:lineRule="exact"/>
              <w:rPr>
                <w:rFonts w:asciiTheme="minorEastAsia" w:hAnsiTheme="minorEastAsia" w:cs="仿宋_GB2312"/>
                <w:sz w:val="24"/>
                <w:szCs w:val="28"/>
              </w:rPr>
            </w:pPr>
          </w:p>
        </w:tc>
      </w:tr>
      <w:tr w:rsidR="00FC7D0A" w:rsidTr="00D25425">
        <w:trPr>
          <w:trHeight w:val="1475"/>
        </w:trPr>
        <w:tc>
          <w:tcPr>
            <w:tcW w:w="709" w:type="dxa"/>
            <w:vAlign w:val="center"/>
          </w:tcPr>
          <w:p w:rsidR="00FC7D0A" w:rsidRDefault="00FC7D0A"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lastRenderedPageBreak/>
              <w:t>6</w:t>
            </w:r>
          </w:p>
        </w:tc>
        <w:tc>
          <w:tcPr>
            <w:tcW w:w="2126" w:type="dxa"/>
            <w:vAlign w:val="center"/>
          </w:tcPr>
          <w:p w:rsidR="00FC7D0A" w:rsidRDefault="00FC7D0A">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使用信用产品数量</w:t>
            </w:r>
          </w:p>
        </w:tc>
        <w:tc>
          <w:tcPr>
            <w:tcW w:w="2268" w:type="dxa"/>
            <w:vAlign w:val="center"/>
          </w:tcPr>
          <w:p w:rsidR="00FC7D0A" w:rsidRDefault="00FC7D0A" w:rsidP="005E5587">
            <w:pPr>
              <w:spacing w:line="400" w:lineRule="exact"/>
              <w:rPr>
                <w:rFonts w:asciiTheme="minorEastAsia" w:hAnsiTheme="minorEastAsia" w:cs="仿宋_GB2312"/>
                <w:sz w:val="24"/>
                <w:szCs w:val="28"/>
              </w:rPr>
            </w:pPr>
            <w:r w:rsidRPr="00DC12B1">
              <w:rPr>
                <w:rFonts w:asciiTheme="minorEastAsia" w:hAnsiTheme="minorEastAsia" w:cs="仿宋_GB2312" w:hint="eastAsia"/>
                <w:sz w:val="24"/>
                <w:szCs w:val="28"/>
              </w:rPr>
              <w:t>市本级单位</w:t>
            </w:r>
            <w:r>
              <w:rPr>
                <w:rFonts w:asciiTheme="minorEastAsia" w:hAnsiTheme="minorEastAsia" w:cs="仿宋_GB2312" w:hint="eastAsia"/>
                <w:sz w:val="24"/>
                <w:szCs w:val="28"/>
              </w:rPr>
              <w:t>、中直区直单位、各县（市、区）发改局</w:t>
            </w:r>
          </w:p>
        </w:tc>
        <w:tc>
          <w:tcPr>
            <w:tcW w:w="1985" w:type="dxa"/>
            <w:vAlign w:val="center"/>
          </w:tcPr>
          <w:p w:rsidR="00FC7D0A" w:rsidRDefault="00FC7D0A">
            <w:pPr>
              <w:spacing w:line="400" w:lineRule="exact"/>
              <w:rPr>
                <w:rFonts w:asciiTheme="minorEastAsia" w:hAnsiTheme="minorEastAsia" w:cs="仿宋_GB2312"/>
                <w:sz w:val="24"/>
                <w:szCs w:val="28"/>
              </w:rPr>
            </w:pPr>
          </w:p>
        </w:tc>
        <w:tc>
          <w:tcPr>
            <w:tcW w:w="1276" w:type="dxa"/>
            <w:vMerge/>
          </w:tcPr>
          <w:p w:rsidR="00FC7D0A" w:rsidRDefault="00FC7D0A">
            <w:pPr>
              <w:spacing w:line="400" w:lineRule="exact"/>
              <w:rPr>
                <w:rFonts w:asciiTheme="minorEastAsia" w:hAnsiTheme="minorEastAsia" w:cs="仿宋_GB2312"/>
                <w:sz w:val="24"/>
                <w:szCs w:val="28"/>
              </w:rPr>
            </w:pPr>
          </w:p>
        </w:tc>
      </w:tr>
      <w:tr w:rsidR="00FC7D0A" w:rsidTr="00D25425">
        <w:trPr>
          <w:trHeight w:val="1495"/>
        </w:trPr>
        <w:tc>
          <w:tcPr>
            <w:tcW w:w="709" w:type="dxa"/>
            <w:vAlign w:val="center"/>
          </w:tcPr>
          <w:p w:rsidR="00FC7D0A" w:rsidRDefault="00FC7D0A"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t>7</w:t>
            </w:r>
          </w:p>
        </w:tc>
        <w:tc>
          <w:tcPr>
            <w:tcW w:w="2126" w:type="dxa"/>
            <w:vAlign w:val="center"/>
          </w:tcPr>
          <w:p w:rsidR="00FC7D0A" w:rsidRDefault="00FC7D0A">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不良率</w:t>
            </w:r>
          </w:p>
        </w:tc>
        <w:tc>
          <w:tcPr>
            <w:tcW w:w="2268" w:type="dxa"/>
            <w:vAlign w:val="center"/>
          </w:tcPr>
          <w:p w:rsidR="00FC7D0A" w:rsidRDefault="00FC7D0A" w:rsidP="005E5587">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人民银行梧州市中心支行、市金融办</w:t>
            </w:r>
          </w:p>
        </w:tc>
        <w:tc>
          <w:tcPr>
            <w:tcW w:w="1985" w:type="dxa"/>
            <w:vAlign w:val="center"/>
          </w:tcPr>
          <w:p w:rsidR="00FC7D0A" w:rsidRDefault="00FC7D0A">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不良率指银行机构不良贷款率</w:t>
            </w:r>
          </w:p>
        </w:tc>
        <w:tc>
          <w:tcPr>
            <w:tcW w:w="1276" w:type="dxa"/>
            <w:vMerge/>
          </w:tcPr>
          <w:p w:rsidR="00FC7D0A" w:rsidRDefault="00FC7D0A">
            <w:pPr>
              <w:spacing w:line="400" w:lineRule="exact"/>
              <w:rPr>
                <w:rFonts w:asciiTheme="minorEastAsia" w:hAnsiTheme="minorEastAsia" w:cs="仿宋_GB2312"/>
                <w:sz w:val="24"/>
                <w:szCs w:val="28"/>
              </w:rPr>
            </w:pPr>
          </w:p>
        </w:tc>
      </w:tr>
      <w:tr w:rsidR="00FC7D0A" w:rsidTr="004932F4">
        <w:trPr>
          <w:trHeight w:val="1355"/>
        </w:trPr>
        <w:tc>
          <w:tcPr>
            <w:tcW w:w="709" w:type="dxa"/>
            <w:vAlign w:val="center"/>
          </w:tcPr>
          <w:p w:rsidR="00FC7D0A" w:rsidRDefault="00FC7D0A" w:rsidP="00FC7D0A">
            <w:pPr>
              <w:spacing w:line="400" w:lineRule="exact"/>
              <w:jc w:val="center"/>
              <w:rPr>
                <w:rFonts w:asciiTheme="minorEastAsia" w:hAnsiTheme="minorEastAsia" w:cs="仿宋_GB2312"/>
                <w:sz w:val="24"/>
                <w:szCs w:val="28"/>
              </w:rPr>
            </w:pPr>
            <w:r>
              <w:rPr>
                <w:rFonts w:asciiTheme="minorEastAsia" w:hAnsiTheme="minorEastAsia" w:cs="仿宋_GB2312" w:hint="eastAsia"/>
                <w:sz w:val="24"/>
                <w:szCs w:val="28"/>
              </w:rPr>
              <w:t>8</w:t>
            </w:r>
          </w:p>
        </w:tc>
        <w:tc>
          <w:tcPr>
            <w:tcW w:w="2126" w:type="dxa"/>
            <w:vAlign w:val="center"/>
          </w:tcPr>
          <w:p w:rsidR="00FC7D0A" w:rsidRDefault="00FC7D0A">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信易贷每月余额</w:t>
            </w:r>
          </w:p>
        </w:tc>
        <w:tc>
          <w:tcPr>
            <w:tcW w:w="2268" w:type="dxa"/>
            <w:vAlign w:val="center"/>
          </w:tcPr>
          <w:p w:rsidR="00FC7D0A" w:rsidRDefault="00FC7D0A" w:rsidP="005E5587">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人民银行梧州市中心支行、市金融办</w:t>
            </w:r>
          </w:p>
        </w:tc>
        <w:tc>
          <w:tcPr>
            <w:tcW w:w="1985" w:type="dxa"/>
            <w:vAlign w:val="center"/>
          </w:tcPr>
          <w:p w:rsidR="00FC7D0A" w:rsidRDefault="00FC7D0A">
            <w:pPr>
              <w:spacing w:line="400" w:lineRule="exact"/>
              <w:rPr>
                <w:rFonts w:asciiTheme="minorEastAsia" w:hAnsiTheme="minorEastAsia" w:cs="仿宋_GB2312"/>
                <w:sz w:val="24"/>
                <w:szCs w:val="28"/>
              </w:rPr>
            </w:pPr>
            <w:r>
              <w:rPr>
                <w:rFonts w:asciiTheme="minorEastAsia" w:hAnsiTheme="minorEastAsia" w:cs="仿宋_GB2312" w:hint="eastAsia"/>
                <w:sz w:val="24"/>
                <w:szCs w:val="28"/>
              </w:rPr>
              <w:t>信易贷指企业或个人信用良好更容易办理借贷业务</w:t>
            </w:r>
          </w:p>
        </w:tc>
        <w:tc>
          <w:tcPr>
            <w:tcW w:w="1276" w:type="dxa"/>
            <w:vMerge/>
          </w:tcPr>
          <w:p w:rsidR="00FC7D0A" w:rsidRDefault="00FC7D0A">
            <w:pPr>
              <w:spacing w:line="400" w:lineRule="exact"/>
              <w:rPr>
                <w:rFonts w:asciiTheme="minorEastAsia" w:hAnsiTheme="minorEastAsia" w:cs="仿宋_GB2312"/>
                <w:sz w:val="24"/>
                <w:szCs w:val="28"/>
              </w:rPr>
            </w:pPr>
          </w:p>
        </w:tc>
      </w:tr>
    </w:tbl>
    <w:p w:rsidR="00AC069F" w:rsidRDefault="00AC069F">
      <w:pPr>
        <w:spacing w:line="400" w:lineRule="exact"/>
        <w:rPr>
          <w:rFonts w:ascii="仿宋" w:eastAsia="仿宋" w:hAnsi="仿宋"/>
          <w:sz w:val="30"/>
          <w:szCs w:val="30"/>
        </w:rPr>
      </w:pPr>
    </w:p>
    <w:sectPr w:rsidR="00AC069F">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DD5" w:rsidRDefault="007F7DD5" w:rsidP="006076EA">
      <w:r>
        <w:separator/>
      </w:r>
    </w:p>
  </w:endnote>
  <w:endnote w:type="continuationSeparator" w:id="0">
    <w:p w:rsidR="007F7DD5" w:rsidRDefault="007F7DD5" w:rsidP="00607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0000000" w:usb2="00000000" w:usb3="00000000" w:csb0="00040000" w:csb1="00000000"/>
  </w:font>
  <w:font w:name="仿宋_GB2312">
    <w:altName w:val="仿宋"/>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DD5" w:rsidRDefault="007F7DD5" w:rsidP="006076EA">
      <w:r>
        <w:separator/>
      </w:r>
    </w:p>
  </w:footnote>
  <w:footnote w:type="continuationSeparator" w:id="0">
    <w:p w:rsidR="007F7DD5" w:rsidRDefault="007F7DD5" w:rsidP="006076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6EA" w:rsidRDefault="006076EA" w:rsidP="00C826D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7042D8"/>
    <w:rsid w:val="000D0A95"/>
    <w:rsid w:val="0011354B"/>
    <w:rsid w:val="001D2AC3"/>
    <w:rsid w:val="001D5123"/>
    <w:rsid w:val="00267BC0"/>
    <w:rsid w:val="00273A61"/>
    <w:rsid w:val="002B38FF"/>
    <w:rsid w:val="002B4311"/>
    <w:rsid w:val="003352B8"/>
    <w:rsid w:val="00337AEA"/>
    <w:rsid w:val="004626C9"/>
    <w:rsid w:val="004932F4"/>
    <w:rsid w:val="004B08DF"/>
    <w:rsid w:val="004F63AC"/>
    <w:rsid w:val="004F654C"/>
    <w:rsid w:val="00511803"/>
    <w:rsid w:val="00547020"/>
    <w:rsid w:val="005473C8"/>
    <w:rsid w:val="005E0B99"/>
    <w:rsid w:val="005F5D18"/>
    <w:rsid w:val="005F7105"/>
    <w:rsid w:val="006076EA"/>
    <w:rsid w:val="00622F57"/>
    <w:rsid w:val="006B773F"/>
    <w:rsid w:val="006E07C4"/>
    <w:rsid w:val="006F08BF"/>
    <w:rsid w:val="007539E1"/>
    <w:rsid w:val="00777DE7"/>
    <w:rsid w:val="007D6766"/>
    <w:rsid w:val="007F22CE"/>
    <w:rsid w:val="007F7DD5"/>
    <w:rsid w:val="009C5DF9"/>
    <w:rsid w:val="00A207CB"/>
    <w:rsid w:val="00A6476D"/>
    <w:rsid w:val="00A85887"/>
    <w:rsid w:val="00AB4300"/>
    <w:rsid w:val="00AC069F"/>
    <w:rsid w:val="00AE3BC1"/>
    <w:rsid w:val="00B941C4"/>
    <w:rsid w:val="00BA6E2D"/>
    <w:rsid w:val="00BD5CFC"/>
    <w:rsid w:val="00BF6209"/>
    <w:rsid w:val="00BF7F7E"/>
    <w:rsid w:val="00C32ED0"/>
    <w:rsid w:val="00C826DD"/>
    <w:rsid w:val="00CF217A"/>
    <w:rsid w:val="00D22A96"/>
    <w:rsid w:val="00D25425"/>
    <w:rsid w:val="00DC12B1"/>
    <w:rsid w:val="00DD2504"/>
    <w:rsid w:val="00DD6640"/>
    <w:rsid w:val="00E23381"/>
    <w:rsid w:val="00E235F8"/>
    <w:rsid w:val="00EB54CE"/>
    <w:rsid w:val="00EC2393"/>
    <w:rsid w:val="00EE40AC"/>
    <w:rsid w:val="00F07EE6"/>
    <w:rsid w:val="00F21936"/>
    <w:rsid w:val="00FC7D0A"/>
    <w:rsid w:val="026B11EB"/>
    <w:rsid w:val="072B5490"/>
    <w:rsid w:val="0B893A60"/>
    <w:rsid w:val="0F334373"/>
    <w:rsid w:val="142A74FA"/>
    <w:rsid w:val="1477320B"/>
    <w:rsid w:val="16BD3A8B"/>
    <w:rsid w:val="1CE314F5"/>
    <w:rsid w:val="2A4E5B55"/>
    <w:rsid w:val="3DA45DF7"/>
    <w:rsid w:val="431857B6"/>
    <w:rsid w:val="457042D8"/>
    <w:rsid w:val="4DF637F2"/>
    <w:rsid w:val="6064611B"/>
    <w:rsid w:val="626B1C84"/>
    <w:rsid w:val="6277475E"/>
    <w:rsid w:val="62CC3E9C"/>
    <w:rsid w:val="630834F7"/>
    <w:rsid w:val="63C94475"/>
    <w:rsid w:val="750F5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qFormat/>
    <w:rPr>
      <w:sz w:val="21"/>
      <w:szCs w:val="21"/>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列出段落3"/>
    <w:basedOn w:val="a"/>
    <w:qFormat/>
    <w:pPr>
      <w:ind w:firstLineChars="200" w:firstLine="420"/>
    </w:pPr>
    <w:rPr>
      <w:rFonts w:ascii="Calibri" w:eastAsia="宋体" w:hAnsi="Calibri" w:cs="Times New Roman"/>
      <w:szCs w:val="24"/>
    </w:rPr>
  </w:style>
  <w:style w:type="paragraph" w:styleId="a9">
    <w:name w:val="List Paragraph"/>
    <w:basedOn w:val="a"/>
    <w:uiPriority w:val="34"/>
    <w:qFormat/>
    <w:pPr>
      <w:ind w:firstLineChars="200" w:firstLine="420"/>
    </w:p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character" w:styleId="a7">
    <w:name w:val="annotation reference"/>
    <w:basedOn w:val="a0"/>
    <w:qFormat/>
    <w:rPr>
      <w:sz w:val="21"/>
      <w:szCs w:val="21"/>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列出段落3"/>
    <w:basedOn w:val="a"/>
    <w:qFormat/>
    <w:pPr>
      <w:ind w:firstLineChars="200" w:firstLine="420"/>
    </w:pPr>
    <w:rPr>
      <w:rFonts w:ascii="Calibri" w:eastAsia="宋体" w:hAnsi="Calibri" w:cs="Times New Roman"/>
      <w:szCs w:val="24"/>
    </w:rPr>
  </w:style>
  <w:style w:type="paragraph" w:styleId="a9">
    <w:name w:val="List Paragraph"/>
    <w:basedOn w:val="a"/>
    <w:uiPriority w:val="34"/>
    <w:qFormat/>
    <w:pPr>
      <w:ind w:firstLineChars="200" w:firstLine="420"/>
    </w:pPr>
  </w:style>
  <w:style w:type="character" w:customStyle="1" w:styleId="Char">
    <w:name w:val="批注框文本 Char"/>
    <w:basedOn w:val="a0"/>
    <w:link w:val="a4"/>
    <w:qFormat/>
    <w:rPr>
      <w:rFonts w:asciiTheme="minorHAnsi" w:eastAsiaTheme="minorEastAsia" w:hAnsiTheme="minorHAnsi" w:cstheme="minorBidi"/>
      <w:kern w:val="2"/>
      <w:sz w:val="18"/>
      <w:szCs w:val="18"/>
    </w:rPr>
  </w:style>
  <w:style w:type="character" w:customStyle="1" w:styleId="Char1">
    <w:name w:val="页眉 Char"/>
    <w:basedOn w:val="a0"/>
    <w:link w:val="a6"/>
    <w:qFormat/>
    <w:rPr>
      <w:rFonts w:asciiTheme="minorHAnsi" w:eastAsiaTheme="minorEastAsia" w:hAnsiTheme="minorHAnsi" w:cstheme="minorBidi"/>
      <w:kern w:val="2"/>
      <w:sz w:val="18"/>
      <w:szCs w:val="18"/>
    </w:rPr>
  </w:style>
  <w:style w:type="character" w:customStyle="1" w:styleId="Char0">
    <w:name w:val="页脚 Char"/>
    <w:basedOn w:val="a0"/>
    <w:link w:val="a5"/>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2</Pages>
  <Words>72</Words>
  <Characters>412</Characters>
  <Application>Microsoft Office Word</Application>
  <DocSecurity>0</DocSecurity>
  <Lines>3</Lines>
  <Paragraphs>1</Paragraphs>
  <ScaleCrop>false</ScaleCrop>
  <Company>Microsoft</Company>
  <LinksUpToDate>false</LinksUpToDate>
  <CharactersWithSpaces>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user</cp:lastModifiedBy>
  <cp:revision>27</cp:revision>
  <cp:lastPrinted>2018-06-04T01:57:00Z</cp:lastPrinted>
  <dcterms:created xsi:type="dcterms:W3CDTF">2018-02-08T15:15:00Z</dcterms:created>
  <dcterms:modified xsi:type="dcterms:W3CDTF">2018-06-04T02:46:00Z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