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5" w:lineRule="exact"/>
        <w:ind w:left="180"/>
        <w:rPr>
          <w:color w:val="auto"/>
          <w:sz w:val="20"/>
          <w:szCs w:val="20"/>
        </w:rPr>
      </w:pPr>
      <w:r>
        <w:rPr>
          <w:rFonts w:ascii="宋体" w:hAnsi="宋体" w:eastAsia="宋体" w:cs="宋体"/>
          <w:color w:val="333333"/>
          <w:sz w:val="30"/>
          <w:szCs w:val="30"/>
        </w:rPr>
        <w:t>附录</w:t>
      </w:r>
      <w:r>
        <w:rPr>
          <w:rFonts w:ascii="Times New Roman" w:hAnsi="Times New Roman" w:eastAsia="Times New Roman" w:cs="Times New Roman"/>
          <w:color w:val="333333"/>
          <w:sz w:val="30"/>
          <w:szCs w:val="30"/>
        </w:rPr>
        <w:t xml:space="preserve"> 1</w:t>
      </w:r>
    </w:p>
    <w:p>
      <w:pPr>
        <w:spacing w:after="0" w:line="326" w:lineRule="exact"/>
        <w:rPr>
          <w:color w:val="auto"/>
          <w:sz w:val="20"/>
          <w:szCs w:val="20"/>
        </w:rPr>
      </w:pPr>
    </w:p>
    <w:p>
      <w:pPr>
        <w:spacing w:after="0" w:line="343" w:lineRule="exact"/>
        <w:ind w:right="-1"/>
        <w:jc w:val="center"/>
        <w:rPr>
          <w:color w:val="auto"/>
          <w:sz w:val="20"/>
          <w:szCs w:val="20"/>
        </w:rPr>
      </w:pPr>
      <w:bookmarkStart w:id="19" w:name="_GoBack"/>
      <w:r>
        <w:rPr>
          <w:rFonts w:ascii="宋体" w:hAnsi="宋体" w:eastAsia="宋体" w:cs="宋体"/>
          <w:color w:val="333333"/>
          <w:sz w:val="30"/>
          <w:szCs w:val="30"/>
        </w:rPr>
        <w:t>惩戒措施法律及政策依据</w:t>
      </w:r>
    </w:p>
    <w:bookmarkEnd w:id="19"/>
    <w:p>
      <w:pPr>
        <w:spacing w:after="0" w:line="304" w:lineRule="exact"/>
        <w:rPr>
          <w:color w:val="auto"/>
          <w:sz w:val="20"/>
          <w:szCs w:val="20"/>
        </w:rPr>
      </w:pPr>
    </w:p>
    <w:tbl>
      <w:tblPr>
        <w:tblStyle w:val="2"/>
        <w:tblW w:w="0" w:type="auto"/>
        <w:tblInd w:w="70" w:type="dxa"/>
        <w:tblLayout w:type="fixed"/>
        <w:tblCellMar>
          <w:top w:w="0" w:type="dxa"/>
          <w:left w:w="0" w:type="dxa"/>
          <w:bottom w:w="0" w:type="dxa"/>
          <w:right w:w="0" w:type="dxa"/>
        </w:tblCellMar>
      </w:tblPr>
      <w:tblGrid>
        <w:gridCol w:w="1800"/>
        <w:gridCol w:w="10620"/>
        <w:gridCol w:w="1420"/>
        <w:gridCol w:w="360"/>
      </w:tblGrid>
      <w:tr>
        <w:tblPrEx>
          <w:tblCellMar>
            <w:top w:w="0" w:type="dxa"/>
            <w:left w:w="0" w:type="dxa"/>
            <w:bottom w:w="0" w:type="dxa"/>
            <w:right w:w="0" w:type="dxa"/>
          </w:tblCellMar>
        </w:tblPrEx>
        <w:trPr>
          <w:trHeight w:val="456" w:hRule="atLeast"/>
        </w:trPr>
        <w:tc>
          <w:tcPr>
            <w:tcW w:w="1800" w:type="dxa"/>
            <w:tcBorders>
              <w:top w:val="single" w:color="auto" w:sz="8" w:space="0"/>
              <w:left w:val="single" w:color="auto" w:sz="8" w:space="0"/>
              <w:right w:val="single" w:color="auto" w:sz="8" w:space="0"/>
            </w:tcBorders>
            <w:vAlign w:val="bottom"/>
          </w:tcPr>
          <w:p>
            <w:pPr>
              <w:spacing w:after="0" w:line="274" w:lineRule="exact"/>
              <w:ind w:left="420"/>
              <w:rPr>
                <w:color w:val="auto"/>
                <w:sz w:val="20"/>
                <w:szCs w:val="20"/>
              </w:rPr>
            </w:pPr>
            <w:r>
              <w:rPr>
                <w:rFonts w:ascii="宋体" w:hAnsi="宋体" w:eastAsia="宋体" w:cs="宋体"/>
                <w:b/>
                <w:bCs/>
                <w:color w:val="333333"/>
                <w:sz w:val="24"/>
                <w:szCs w:val="24"/>
              </w:rPr>
              <w:t>惩戒措施</w:t>
            </w:r>
          </w:p>
        </w:tc>
        <w:tc>
          <w:tcPr>
            <w:tcW w:w="10620" w:type="dxa"/>
            <w:tcBorders>
              <w:top w:val="single" w:color="auto" w:sz="8" w:space="0"/>
              <w:right w:val="single" w:color="auto" w:sz="8" w:space="0"/>
            </w:tcBorders>
            <w:vAlign w:val="bottom"/>
          </w:tcPr>
          <w:p>
            <w:pPr>
              <w:spacing w:after="0" w:line="274" w:lineRule="exact"/>
              <w:ind w:left="4460"/>
              <w:rPr>
                <w:color w:val="auto"/>
                <w:sz w:val="20"/>
                <w:szCs w:val="20"/>
              </w:rPr>
            </w:pPr>
            <w:r>
              <w:rPr>
                <w:rFonts w:ascii="宋体" w:hAnsi="宋体" w:eastAsia="宋体" w:cs="宋体"/>
                <w:b/>
                <w:bCs/>
                <w:color w:val="333333"/>
                <w:sz w:val="24"/>
                <w:szCs w:val="24"/>
              </w:rPr>
              <w:t>法律及政策依据</w:t>
            </w:r>
          </w:p>
        </w:tc>
        <w:tc>
          <w:tcPr>
            <w:tcW w:w="1420" w:type="dxa"/>
            <w:tcBorders>
              <w:top w:val="single" w:color="auto" w:sz="8" w:space="0"/>
              <w:right w:val="single" w:color="auto" w:sz="8" w:space="0"/>
            </w:tcBorders>
            <w:vAlign w:val="bottom"/>
          </w:tcPr>
          <w:p>
            <w:pPr>
              <w:spacing w:after="0" w:line="274" w:lineRule="exact"/>
              <w:ind w:left="220"/>
              <w:rPr>
                <w:color w:val="auto"/>
                <w:sz w:val="20"/>
                <w:szCs w:val="20"/>
              </w:rPr>
            </w:pPr>
            <w:r>
              <w:rPr>
                <w:rFonts w:ascii="宋体" w:hAnsi="宋体" w:eastAsia="宋体" w:cs="宋体"/>
                <w:b/>
                <w:bCs/>
                <w:color w:val="333333"/>
                <w:sz w:val="24"/>
                <w:szCs w:val="24"/>
              </w:rPr>
              <w:t>实施部门</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8" w:hRule="atLeast"/>
        </w:trPr>
        <w:tc>
          <w:tcPr>
            <w:tcW w:w="1800" w:type="dxa"/>
            <w:tcBorders>
              <w:left w:val="single" w:color="auto" w:sz="8" w:space="0"/>
              <w:bottom w:val="single" w:color="auto" w:sz="8" w:space="0"/>
              <w:right w:val="single" w:color="auto" w:sz="8" w:space="0"/>
            </w:tcBorders>
            <w:vAlign w:val="bottom"/>
          </w:tcPr>
          <w:p>
            <w:pPr>
              <w:spacing w:after="0"/>
              <w:rPr>
                <w:color w:val="auto"/>
                <w:sz w:val="15"/>
                <w:szCs w:val="15"/>
              </w:rPr>
            </w:pPr>
          </w:p>
        </w:tc>
        <w:tc>
          <w:tcPr>
            <w:tcW w:w="10620" w:type="dxa"/>
            <w:tcBorders>
              <w:bottom w:val="single" w:color="auto" w:sz="8" w:space="0"/>
              <w:right w:val="single" w:color="auto" w:sz="8" w:space="0"/>
            </w:tcBorders>
            <w:vAlign w:val="bottom"/>
          </w:tcPr>
          <w:p>
            <w:pPr>
              <w:spacing w:after="0"/>
              <w:rPr>
                <w:color w:val="auto"/>
                <w:sz w:val="15"/>
                <w:szCs w:val="15"/>
              </w:rPr>
            </w:pPr>
          </w:p>
        </w:tc>
        <w:tc>
          <w:tcPr>
            <w:tcW w:w="1420" w:type="dxa"/>
            <w:tcBorders>
              <w:bottom w:val="single" w:color="auto" w:sz="8" w:space="0"/>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13"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333333"/>
                <w:sz w:val="24"/>
                <w:szCs w:val="24"/>
              </w:rPr>
              <w:t>1</w:t>
            </w:r>
            <w:r>
              <w:rPr>
                <w:rFonts w:ascii="宋体" w:hAnsi="宋体" w:eastAsia="宋体" w:cs="宋体"/>
                <w:b/>
                <w:bCs/>
                <w:color w:val="333333"/>
                <w:sz w:val="24"/>
                <w:szCs w:val="24"/>
              </w:rPr>
              <w:t>、《中华人民共和国道路运输条例》</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36"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333333"/>
                <w:sz w:val="24"/>
                <w:szCs w:val="24"/>
              </w:rPr>
              <w:t>第三条 从事道路运输经营以及道路运输相关业务，应当依法经营，诚实信用，公平竞争。</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333333"/>
                <w:sz w:val="24"/>
                <w:szCs w:val="24"/>
              </w:rPr>
              <w:t>第二十一条 申请从事货运经营的，应当具备下列条件：（一）有与其经营业务相适应并经检测</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0" w:hRule="atLeast"/>
        </w:trPr>
        <w:tc>
          <w:tcPr>
            <w:tcW w:w="1800" w:type="dxa"/>
            <w:vMerge w:val="restart"/>
            <w:tcBorders>
              <w:left w:val="single" w:color="auto" w:sz="8" w:space="0"/>
              <w:right w:val="single" w:color="auto" w:sz="8" w:space="0"/>
            </w:tcBorders>
            <w:vAlign w:val="bottom"/>
          </w:tcPr>
          <w:p>
            <w:pPr>
              <w:spacing w:after="0" w:line="292" w:lineRule="exact"/>
              <w:ind w:left="120"/>
              <w:rPr>
                <w:color w:val="auto"/>
                <w:sz w:val="20"/>
                <w:szCs w:val="20"/>
              </w:rPr>
            </w:pPr>
            <w:r>
              <w:rPr>
                <w:rFonts w:ascii="Times New Roman" w:hAnsi="Times New Roman" w:eastAsia="Times New Roman" w:cs="Times New Roman"/>
                <w:color w:val="333333"/>
                <w:sz w:val="24"/>
                <w:szCs w:val="24"/>
              </w:rPr>
              <w:t>1</w:t>
            </w:r>
            <w:r>
              <w:rPr>
                <w:rFonts w:ascii="宋体" w:hAnsi="宋体" w:eastAsia="宋体" w:cs="宋体"/>
                <w:color w:val="333333"/>
                <w:sz w:val="24"/>
                <w:szCs w:val="24"/>
              </w:rPr>
              <w:t>、对失信主体</w:t>
            </w:r>
          </w:p>
        </w:tc>
        <w:tc>
          <w:tcPr>
            <w:tcW w:w="1062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w w:val="99"/>
                <w:sz w:val="24"/>
                <w:szCs w:val="24"/>
              </w:rPr>
              <w:t>合格的车辆；（二）有符合本条例第二十二条规定条件的驾驶人员；（三）有健全的安全管理制度。</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92" w:hRule="atLeast"/>
        </w:trPr>
        <w:tc>
          <w:tcPr>
            <w:tcW w:w="1800" w:type="dxa"/>
            <w:vMerge w:val="continue"/>
            <w:tcBorders>
              <w:left w:val="single" w:color="auto" w:sz="8" w:space="0"/>
              <w:right w:val="single" w:color="auto" w:sz="8" w:space="0"/>
            </w:tcBorders>
            <w:vAlign w:val="bottom"/>
          </w:tcPr>
          <w:p>
            <w:pPr>
              <w:spacing w:after="0"/>
              <w:rPr>
                <w:color w:val="auto"/>
                <w:sz w:val="16"/>
                <w:szCs w:val="16"/>
              </w:rPr>
            </w:pPr>
          </w:p>
        </w:tc>
        <w:tc>
          <w:tcPr>
            <w:tcW w:w="10620" w:type="dxa"/>
            <w:vMerge w:val="restart"/>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333333"/>
                <w:sz w:val="24"/>
                <w:szCs w:val="24"/>
              </w:rPr>
              <w:t>2</w:t>
            </w:r>
            <w:r>
              <w:rPr>
                <w:rFonts w:ascii="宋体" w:hAnsi="宋体" w:eastAsia="宋体" w:cs="宋体"/>
                <w:b/>
                <w:bCs/>
                <w:color w:val="333333"/>
                <w:sz w:val="24"/>
                <w:szCs w:val="24"/>
              </w:rPr>
              <w:t>、《国务院关于促进市场公平竞争维护市场正常秩序的若干意见》</w:t>
            </w:r>
          </w:p>
        </w:tc>
        <w:tc>
          <w:tcPr>
            <w:tcW w:w="1420" w:type="dxa"/>
            <w:tcBorders>
              <w:right w:val="single" w:color="auto" w:sz="8" w:space="0"/>
            </w:tcBorders>
            <w:vAlign w:val="bottom"/>
          </w:tcPr>
          <w:p>
            <w:pPr>
              <w:spacing w:after="0"/>
              <w:rPr>
                <w:color w:val="auto"/>
                <w:sz w:val="16"/>
                <w:szCs w:val="16"/>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3" w:hRule="atLeast"/>
        </w:trPr>
        <w:tc>
          <w:tcPr>
            <w:tcW w:w="1800" w:type="dxa"/>
            <w:vMerge w:val="restart"/>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w w:val="97"/>
                <w:sz w:val="24"/>
                <w:szCs w:val="24"/>
              </w:rPr>
              <w:t>申请从事道路、</w:t>
            </w:r>
          </w:p>
        </w:tc>
        <w:tc>
          <w:tcPr>
            <w:tcW w:w="10620" w:type="dxa"/>
            <w:vMerge w:val="continue"/>
            <w:tcBorders>
              <w:right w:val="single" w:color="auto" w:sz="8" w:space="0"/>
            </w:tcBorders>
            <w:vAlign w:val="bottom"/>
          </w:tcPr>
          <w:p>
            <w:pPr>
              <w:spacing w:after="0"/>
              <w:rPr>
                <w:color w:val="auto"/>
                <w:sz w:val="15"/>
                <w:szCs w:val="15"/>
              </w:rPr>
            </w:pPr>
          </w:p>
        </w:tc>
        <w:tc>
          <w:tcPr>
            <w:tcW w:w="1420" w:type="dxa"/>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61" w:hRule="atLeast"/>
        </w:trPr>
        <w:tc>
          <w:tcPr>
            <w:tcW w:w="1800" w:type="dxa"/>
            <w:vMerge w:val="continue"/>
            <w:tcBorders>
              <w:left w:val="single" w:color="auto" w:sz="8" w:space="0"/>
              <w:right w:val="single" w:color="auto" w:sz="8" w:space="0"/>
            </w:tcBorders>
            <w:vAlign w:val="bottom"/>
          </w:tcPr>
          <w:p>
            <w:pPr>
              <w:spacing w:after="0"/>
              <w:rPr>
                <w:color w:val="auto"/>
                <w:sz w:val="14"/>
                <w:szCs w:val="14"/>
              </w:rPr>
            </w:pPr>
          </w:p>
        </w:tc>
        <w:tc>
          <w:tcPr>
            <w:tcW w:w="10620" w:type="dxa"/>
            <w:vMerge w:val="restart"/>
            <w:tcBorders>
              <w:right w:val="single" w:color="auto" w:sz="8" w:space="0"/>
            </w:tcBorders>
            <w:vAlign w:val="bottom"/>
          </w:tcPr>
          <w:p>
            <w:pPr>
              <w:spacing w:after="0" w:line="291" w:lineRule="exact"/>
              <w:ind w:left="580"/>
              <w:rPr>
                <w:color w:val="auto"/>
                <w:sz w:val="20"/>
                <w:szCs w:val="20"/>
              </w:rPr>
            </w:pPr>
            <w:r>
              <w:rPr>
                <w:rFonts w:ascii="宋体" w:hAnsi="宋体" w:eastAsia="宋体" w:cs="宋体"/>
                <w:color w:val="333333"/>
                <w:sz w:val="24"/>
                <w:szCs w:val="24"/>
              </w:rPr>
              <w:t>（十五）建立健全守信激励和失信惩戒机制。</w:t>
            </w:r>
            <w:r>
              <w:rPr>
                <w:rFonts w:ascii="Arial" w:hAnsi="Arial" w:eastAsia="Arial" w:cs="Arial"/>
                <w:color w:val="333333"/>
                <w:sz w:val="24"/>
                <w:szCs w:val="24"/>
              </w:rPr>
              <w:t>…</w:t>
            </w:r>
            <w:r>
              <w:rPr>
                <w:rFonts w:ascii="宋体" w:hAnsi="宋体" w:eastAsia="宋体" w:cs="宋体"/>
                <w:color w:val="333333"/>
                <w:sz w:val="24"/>
                <w:szCs w:val="24"/>
              </w:rPr>
              <w:t>对守信主体予以支持和激励，对失信主体在经</w:t>
            </w:r>
          </w:p>
        </w:tc>
        <w:tc>
          <w:tcPr>
            <w:tcW w:w="1420" w:type="dxa"/>
            <w:tcBorders>
              <w:right w:val="single" w:color="auto" w:sz="8" w:space="0"/>
            </w:tcBorders>
            <w:vAlign w:val="bottom"/>
          </w:tcPr>
          <w:p>
            <w:pPr>
              <w:spacing w:after="0"/>
              <w:rPr>
                <w:color w:val="auto"/>
                <w:sz w:val="14"/>
                <w:szCs w:val="1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8" w:hRule="atLeast"/>
        </w:trPr>
        <w:tc>
          <w:tcPr>
            <w:tcW w:w="1800" w:type="dxa"/>
            <w:vMerge w:val="restart"/>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w w:val="97"/>
                <w:sz w:val="24"/>
                <w:szCs w:val="24"/>
              </w:rPr>
              <w:t>铁路、水路、民</w:t>
            </w:r>
          </w:p>
        </w:tc>
        <w:tc>
          <w:tcPr>
            <w:tcW w:w="10620" w:type="dxa"/>
            <w:vMerge w:val="continue"/>
            <w:tcBorders>
              <w:right w:val="single" w:color="auto" w:sz="8" w:space="0"/>
            </w:tcBorders>
            <w:vAlign w:val="bottom"/>
          </w:tcPr>
          <w:p>
            <w:pPr>
              <w:spacing w:after="0"/>
              <w:rPr>
                <w:color w:val="auto"/>
                <w:sz w:val="15"/>
                <w:szCs w:val="15"/>
              </w:rPr>
            </w:pPr>
          </w:p>
        </w:tc>
        <w:tc>
          <w:tcPr>
            <w:tcW w:w="1420" w:type="dxa"/>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5" w:hRule="atLeast"/>
        </w:trPr>
        <w:tc>
          <w:tcPr>
            <w:tcW w:w="1800" w:type="dxa"/>
            <w:vMerge w:val="continue"/>
            <w:tcBorders>
              <w:left w:val="single" w:color="auto" w:sz="8" w:space="0"/>
              <w:right w:val="single" w:color="auto" w:sz="8" w:space="0"/>
            </w:tcBorders>
            <w:vAlign w:val="bottom"/>
          </w:tcPr>
          <w:p>
            <w:pPr>
              <w:spacing w:after="0"/>
              <w:rPr>
                <w:color w:val="auto"/>
                <w:sz w:val="15"/>
                <w:szCs w:val="15"/>
              </w:rPr>
            </w:pPr>
          </w:p>
        </w:tc>
        <w:tc>
          <w:tcPr>
            <w:tcW w:w="10620" w:type="dxa"/>
            <w:vMerge w:val="restart"/>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营、投融资、取得政府供应土地、进出口、出入境、注册新公司、工程招投标、政府采购、获得荣</w:t>
            </w:r>
          </w:p>
        </w:tc>
        <w:tc>
          <w:tcPr>
            <w:tcW w:w="1420" w:type="dxa"/>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5" w:hRule="atLeast"/>
        </w:trPr>
        <w:tc>
          <w:tcPr>
            <w:tcW w:w="1800" w:type="dxa"/>
            <w:vMerge w:val="restart"/>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航运输和站场</w:t>
            </w:r>
          </w:p>
        </w:tc>
        <w:tc>
          <w:tcPr>
            <w:tcW w:w="10620" w:type="dxa"/>
            <w:vMerge w:val="continue"/>
            <w:tcBorders>
              <w:right w:val="single" w:color="auto" w:sz="8" w:space="0"/>
            </w:tcBorders>
            <w:vAlign w:val="bottom"/>
          </w:tcPr>
          <w:p>
            <w:pPr>
              <w:spacing w:after="0"/>
              <w:rPr>
                <w:color w:val="auto"/>
                <w:sz w:val="15"/>
                <w:szCs w:val="15"/>
              </w:rPr>
            </w:pPr>
          </w:p>
        </w:tc>
        <w:tc>
          <w:tcPr>
            <w:tcW w:w="1420" w:type="dxa"/>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3" w:hRule="atLeast"/>
        </w:trPr>
        <w:tc>
          <w:tcPr>
            <w:tcW w:w="1800" w:type="dxa"/>
            <w:vMerge w:val="continue"/>
            <w:tcBorders>
              <w:left w:val="single" w:color="auto" w:sz="8" w:space="0"/>
              <w:right w:val="single" w:color="auto" w:sz="8" w:space="0"/>
            </w:tcBorders>
            <w:vAlign w:val="bottom"/>
          </w:tcPr>
          <w:p>
            <w:pPr>
              <w:spacing w:after="0"/>
              <w:rPr>
                <w:color w:val="auto"/>
                <w:sz w:val="15"/>
                <w:szCs w:val="15"/>
              </w:rPr>
            </w:pPr>
          </w:p>
        </w:tc>
        <w:tc>
          <w:tcPr>
            <w:tcW w:w="10620" w:type="dxa"/>
            <w:vMerge w:val="restart"/>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誉、安全许可、生产许可、从业任职资格、资质审核等方面依法予以限制或禁止，对严重违法失信</w:t>
            </w:r>
          </w:p>
        </w:tc>
        <w:tc>
          <w:tcPr>
            <w:tcW w:w="1420" w:type="dxa"/>
            <w:vMerge w:val="restart"/>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w w:val="96"/>
                <w:sz w:val="24"/>
                <w:szCs w:val="24"/>
              </w:rPr>
              <w:t>交 通 运 输</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8" w:hRule="atLeast"/>
        </w:trPr>
        <w:tc>
          <w:tcPr>
            <w:tcW w:w="1800" w:type="dxa"/>
            <w:vMerge w:val="restart"/>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w w:val="97"/>
                <w:sz w:val="24"/>
                <w:szCs w:val="24"/>
              </w:rPr>
              <w:t>（港口、机场）</w:t>
            </w:r>
          </w:p>
        </w:tc>
        <w:tc>
          <w:tcPr>
            <w:tcW w:w="10620" w:type="dxa"/>
            <w:vMerge w:val="continue"/>
            <w:tcBorders>
              <w:right w:val="single" w:color="auto" w:sz="8" w:space="0"/>
            </w:tcBorders>
            <w:vAlign w:val="bottom"/>
          </w:tcPr>
          <w:p>
            <w:pPr>
              <w:spacing w:after="0"/>
              <w:rPr>
                <w:color w:val="auto"/>
                <w:sz w:val="15"/>
                <w:szCs w:val="15"/>
              </w:rPr>
            </w:pPr>
          </w:p>
        </w:tc>
        <w:tc>
          <w:tcPr>
            <w:tcW w:w="1420" w:type="dxa"/>
            <w:vMerge w:val="continue"/>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5" w:hRule="atLeast"/>
        </w:trPr>
        <w:tc>
          <w:tcPr>
            <w:tcW w:w="1800" w:type="dxa"/>
            <w:vMerge w:val="continue"/>
            <w:tcBorders>
              <w:left w:val="single" w:color="auto" w:sz="8" w:space="0"/>
              <w:right w:val="single" w:color="auto" w:sz="8" w:space="0"/>
            </w:tcBorders>
            <w:vAlign w:val="bottom"/>
          </w:tcPr>
          <w:p>
            <w:pPr>
              <w:spacing w:after="0"/>
              <w:rPr>
                <w:color w:val="auto"/>
                <w:sz w:val="15"/>
                <w:szCs w:val="15"/>
              </w:rPr>
            </w:pPr>
          </w:p>
        </w:tc>
        <w:tc>
          <w:tcPr>
            <w:tcW w:w="10620" w:type="dxa"/>
            <w:vMerge w:val="restart"/>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主体实行市场禁入制度。</w:t>
            </w:r>
          </w:p>
        </w:tc>
        <w:tc>
          <w:tcPr>
            <w:tcW w:w="1420" w:type="dxa"/>
            <w:vMerge w:val="restart"/>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部、国家铁</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5" w:hRule="atLeast"/>
        </w:trPr>
        <w:tc>
          <w:tcPr>
            <w:tcW w:w="1800" w:type="dxa"/>
            <w:vMerge w:val="restart"/>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w w:val="97"/>
                <w:sz w:val="24"/>
                <w:szCs w:val="24"/>
              </w:rPr>
              <w:t>经营业务的，在</w:t>
            </w:r>
          </w:p>
        </w:tc>
        <w:tc>
          <w:tcPr>
            <w:tcW w:w="10620" w:type="dxa"/>
            <w:vMerge w:val="continue"/>
            <w:tcBorders>
              <w:right w:val="single" w:color="auto" w:sz="8" w:space="0"/>
            </w:tcBorders>
            <w:vAlign w:val="bottom"/>
          </w:tcPr>
          <w:p>
            <w:pPr>
              <w:spacing w:after="0"/>
              <w:rPr>
                <w:color w:val="auto"/>
                <w:sz w:val="15"/>
                <w:szCs w:val="15"/>
              </w:rPr>
            </w:pPr>
          </w:p>
        </w:tc>
        <w:tc>
          <w:tcPr>
            <w:tcW w:w="1420" w:type="dxa"/>
            <w:vMerge w:val="continue"/>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5" w:hRule="atLeast"/>
        </w:trPr>
        <w:tc>
          <w:tcPr>
            <w:tcW w:w="1800" w:type="dxa"/>
            <w:vMerge w:val="continue"/>
            <w:tcBorders>
              <w:left w:val="single" w:color="auto" w:sz="8" w:space="0"/>
              <w:right w:val="single" w:color="auto" w:sz="8" w:space="0"/>
            </w:tcBorders>
            <w:vAlign w:val="bottom"/>
          </w:tcPr>
          <w:p>
            <w:pPr>
              <w:spacing w:after="0"/>
              <w:rPr>
                <w:color w:val="auto"/>
                <w:sz w:val="15"/>
                <w:szCs w:val="15"/>
              </w:rPr>
            </w:pPr>
          </w:p>
        </w:tc>
        <w:tc>
          <w:tcPr>
            <w:tcW w:w="10620" w:type="dxa"/>
            <w:vMerge w:val="restart"/>
            <w:tcBorders>
              <w:right w:val="single" w:color="auto" w:sz="8" w:space="0"/>
            </w:tcBorders>
            <w:vAlign w:val="bottom"/>
          </w:tcPr>
          <w:p>
            <w:pPr>
              <w:spacing w:after="0" w:line="291" w:lineRule="exact"/>
              <w:ind w:left="580"/>
              <w:rPr>
                <w:color w:val="auto"/>
                <w:sz w:val="20"/>
                <w:szCs w:val="20"/>
              </w:rPr>
            </w:pPr>
            <w:r>
              <w:rPr>
                <w:rFonts w:ascii="Arial" w:hAnsi="Arial" w:eastAsia="Arial" w:cs="Arial"/>
                <w:b/>
                <w:bCs/>
                <w:color w:val="333333"/>
                <w:sz w:val="24"/>
                <w:szCs w:val="24"/>
              </w:rPr>
              <w:t>3</w:t>
            </w:r>
            <w:r>
              <w:rPr>
                <w:rFonts w:ascii="宋体" w:hAnsi="宋体" w:eastAsia="宋体" w:cs="宋体"/>
                <w:b/>
                <w:bCs/>
                <w:color w:val="333333"/>
                <w:sz w:val="24"/>
                <w:szCs w:val="24"/>
              </w:rPr>
              <w:t>、《国务院关于加强道路交通安全工作的意见》</w:t>
            </w:r>
          </w:p>
        </w:tc>
        <w:tc>
          <w:tcPr>
            <w:tcW w:w="1420" w:type="dxa"/>
            <w:vMerge w:val="restart"/>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路局、中国</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5" w:hRule="atLeast"/>
        </w:trPr>
        <w:tc>
          <w:tcPr>
            <w:tcW w:w="1800" w:type="dxa"/>
            <w:vMerge w:val="restart"/>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班线和航线审</w:t>
            </w:r>
          </w:p>
        </w:tc>
        <w:tc>
          <w:tcPr>
            <w:tcW w:w="10620" w:type="dxa"/>
            <w:vMerge w:val="continue"/>
            <w:tcBorders>
              <w:right w:val="single" w:color="auto" w:sz="8" w:space="0"/>
            </w:tcBorders>
            <w:vAlign w:val="bottom"/>
          </w:tcPr>
          <w:p>
            <w:pPr>
              <w:spacing w:after="0"/>
              <w:rPr>
                <w:color w:val="auto"/>
                <w:sz w:val="15"/>
                <w:szCs w:val="15"/>
              </w:rPr>
            </w:pPr>
          </w:p>
        </w:tc>
        <w:tc>
          <w:tcPr>
            <w:tcW w:w="1420" w:type="dxa"/>
            <w:vMerge w:val="continue"/>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5" w:hRule="atLeast"/>
        </w:trPr>
        <w:tc>
          <w:tcPr>
            <w:tcW w:w="1800" w:type="dxa"/>
            <w:vMerge w:val="continue"/>
            <w:tcBorders>
              <w:left w:val="single" w:color="auto" w:sz="8" w:space="0"/>
              <w:right w:val="single" w:color="auto" w:sz="8" w:space="0"/>
            </w:tcBorders>
            <w:vAlign w:val="bottom"/>
          </w:tcPr>
          <w:p>
            <w:pPr>
              <w:spacing w:after="0"/>
              <w:rPr>
                <w:color w:val="auto"/>
                <w:sz w:val="15"/>
                <w:szCs w:val="15"/>
              </w:rPr>
            </w:pPr>
          </w:p>
        </w:tc>
        <w:tc>
          <w:tcPr>
            <w:tcW w:w="10620" w:type="dxa"/>
            <w:vMerge w:val="restart"/>
            <w:tcBorders>
              <w:right w:val="single" w:color="auto" w:sz="8" w:space="0"/>
            </w:tcBorders>
            <w:vAlign w:val="bottom"/>
          </w:tcPr>
          <w:p>
            <w:pPr>
              <w:spacing w:after="0" w:line="292" w:lineRule="exact"/>
              <w:ind w:left="580"/>
              <w:rPr>
                <w:color w:val="auto"/>
                <w:sz w:val="20"/>
                <w:szCs w:val="20"/>
              </w:rPr>
            </w:pPr>
            <w:r>
              <w:rPr>
                <w:rFonts w:ascii="宋体" w:hAnsi="宋体" w:eastAsia="宋体" w:cs="宋体"/>
                <w:color w:val="333333"/>
                <w:sz w:val="24"/>
                <w:szCs w:val="24"/>
              </w:rPr>
              <w:t>（二十五）加大事故责任追究力度。</w:t>
            </w:r>
            <w:r>
              <w:rPr>
                <w:rFonts w:ascii="Times New Roman" w:hAnsi="Times New Roman" w:eastAsia="Times New Roman" w:cs="Times New Roman"/>
                <w:color w:val="333333"/>
                <w:sz w:val="24"/>
                <w:szCs w:val="24"/>
              </w:rPr>
              <w:t>…</w:t>
            </w:r>
            <w:r>
              <w:rPr>
                <w:rFonts w:ascii="宋体" w:hAnsi="宋体" w:eastAsia="宋体" w:cs="宋体"/>
                <w:color w:val="333333"/>
                <w:sz w:val="24"/>
                <w:szCs w:val="24"/>
              </w:rPr>
              <w:t>对发生重大及以上或者</w:t>
            </w:r>
            <w:r>
              <w:rPr>
                <w:rFonts w:ascii="Times New Roman" w:hAnsi="Times New Roman" w:eastAsia="Times New Roman" w:cs="Times New Roman"/>
                <w:color w:val="333333"/>
                <w:sz w:val="24"/>
                <w:szCs w:val="24"/>
              </w:rPr>
              <w:t xml:space="preserve"> 6 </w:t>
            </w:r>
            <w:r>
              <w:rPr>
                <w:rFonts w:ascii="宋体" w:hAnsi="宋体" w:eastAsia="宋体" w:cs="宋体"/>
                <w:color w:val="333333"/>
                <w:sz w:val="24"/>
                <w:szCs w:val="24"/>
              </w:rPr>
              <w:t>个月内发生两起较大及以上责</w:t>
            </w:r>
          </w:p>
        </w:tc>
        <w:tc>
          <w:tcPr>
            <w:tcW w:w="1420" w:type="dxa"/>
            <w:vMerge w:val="restart"/>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民航局</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89" w:hRule="atLeast"/>
        </w:trPr>
        <w:tc>
          <w:tcPr>
            <w:tcW w:w="1800" w:type="dxa"/>
            <w:vMerge w:val="restart"/>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w w:val="97"/>
                <w:sz w:val="24"/>
                <w:szCs w:val="24"/>
              </w:rPr>
              <w:t>批、经营许可等</w:t>
            </w:r>
          </w:p>
        </w:tc>
        <w:tc>
          <w:tcPr>
            <w:tcW w:w="10620" w:type="dxa"/>
            <w:vMerge w:val="continue"/>
            <w:tcBorders>
              <w:right w:val="single" w:color="auto" w:sz="8" w:space="0"/>
            </w:tcBorders>
            <w:vAlign w:val="bottom"/>
          </w:tcPr>
          <w:p>
            <w:pPr>
              <w:spacing w:after="0"/>
              <w:rPr>
                <w:color w:val="auto"/>
                <w:sz w:val="16"/>
                <w:szCs w:val="16"/>
              </w:rPr>
            </w:pPr>
          </w:p>
        </w:tc>
        <w:tc>
          <w:tcPr>
            <w:tcW w:w="1420" w:type="dxa"/>
            <w:vMerge w:val="continue"/>
            <w:tcBorders>
              <w:right w:val="single" w:color="auto" w:sz="8" w:space="0"/>
            </w:tcBorders>
            <w:vAlign w:val="bottom"/>
          </w:tcPr>
          <w:p>
            <w:pPr>
              <w:spacing w:after="0"/>
              <w:rPr>
                <w:color w:val="auto"/>
                <w:sz w:val="16"/>
                <w:szCs w:val="16"/>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61" w:hRule="atLeast"/>
        </w:trPr>
        <w:tc>
          <w:tcPr>
            <w:tcW w:w="1800" w:type="dxa"/>
            <w:vMerge w:val="continue"/>
            <w:tcBorders>
              <w:left w:val="single" w:color="auto" w:sz="8" w:space="0"/>
              <w:right w:val="single" w:color="auto" w:sz="8" w:space="0"/>
            </w:tcBorders>
            <w:vAlign w:val="bottom"/>
          </w:tcPr>
          <w:p>
            <w:pPr>
              <w:spacing w:after="0"/>
              <w:rPr>
                <w:color w:val="auto"/>
                <w:sz w:val="14"/>
                <w:szCs w:val="14"/>
              </w:rPr>
            </w:pPr>
          </w:p>
        </w:tc>
        <w:tc>
          <w:tcPr>
            <w:tcW w:w="10620" w:type="dxa"/>
            <w:vMerge w:val="restart"/>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任事故的道路运输企业，依法责令停业整顿；停业整顿后符合安全生产条件的，准予恢复运营，但</w:t>
            </w:r>
          </w:p>
        </w:tc>
        <w:tc>
          <w:tcPr>
            <w:tcW w:w="1420" w:type="dxa"/>
            <w:tcBorders>
              <w:right w:val="single" w:color="auto" w:sz="8" w:space="0"/>
            </w:tcBorders>
            <w:vAlign w:val="bottom"/>
          </w:tcPr>
          <w:p>
            <w:pPr>
              <w:spacing w:after="0"/>
              <w:rPr>
                <w:color w:val="auto"/>
                <w:sz w:val="14"/>
                <w:szCs w:val="1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5" w:hRule="atLeast"/>
        </w:trPr>
        <w:tc>
          <w:tcPr>
            <w:tcW w:w="1800" w:type="dxa"/>
            <w:vMerge w:val="restart"/>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方面依法实行</w:t>
            </w:r>
          </w:p>
        </w:tc>
        <w:tc>
          <w:tcPr>
            <w:tcW w:w="10620" w:type="dxa"/>
            <w:vMerge w:val="continue"/>
            <w:tcBorders>
              <w:right w:val="single" w:color="auto" w:sz="8" w:space="0"/>
            </w:tcBorders>
            <w:vAlign w:val="bottom"/>
          </w:tcPr>
          <w:p>
            <w:pPr>
              <w:spacing w:after="0"/>
              <w:rPr>
                <w:color w:val="auto"/>
                <w:sz w:val="15"/>
                <w:szCs w:val="15"/>
              </w:rPr>
            </w:pPr>
          </w:p>
        </w:tc>
        <w:tc>
          <w:tcPr>
            <w:tcW w:w="1420" w:type="dxa"/>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5" w:hRule="atLeast"/>
        </w:trPr>
        <w:tc>
          <w:tcPr>
            <w:tcW w:w="1800" w:type="dxa"/>
            <w:vMerge w:val="continue"/>
            <w:tcBorders>
              <w:left w:val="single" w:color="auto" w:sz="8" w:space="0"/>
              <w:right w:val="single" w:color="auto" w:sz="8" w:space="0"/>
            </w:tcBorders>
            <w:vAlign w:val="bottom"/>
          </w:tcPr>
          <w:p>
            <w:pPr>
              <w:spacing w:after="0"/>
              <w:rPr>
                <w:color w:val="auto"/>
                <w:sz w:val="15"/>
                <w:szCs w:val="15"/>
              </w:rPr>
            </w:pPr>
          </w:p>
        </w:tc>
        <w:tc>
          <w:tcPr>
            <w:tcW w:w="10620" w:type="dxa"/>
            <w:vMerge w:val="restart"/>
            <w:tcBorders>
              <w:right w:val="single" w:color="auto" w:sz="8" w:space="0"/>
            </w:tcBorders>
            <w:vAlign w:val="bottom"/>
          </w:tcPr>
          <w:p>
            <w:pPr>
              <w:spacing w:after="0" w:line="292" w:lineRule="exact"/>
              <w:ind w:left="100"/>
              <w:rPr>
                <w:color w:val="auto"/>
                <w:sz w:val="20"/>
                <w:szCs w:val="20"/>
              </w:rPr>
            </w:pPr>
            <w:r>
              <w:rPr>
                <w:rFonts w:ascii="宋体" w:hAnsi="宋体" w:eastAsia="宋体" w:cs="宋体"/>
                <w:color w:val="333333"/>
                <w:sz w:val="24"/>
                <w:szCs w:val="24"/>
              </w:rPr>
              <w:t>客运企业</w:t>
            </w:r>
            <w:r>
              <w:rPr>
                <w:rFonts w:ascii="Times New Roman" w:hAnsi="Times New Roman" w:eastAsia="Times New Roman" w:cs="Times New Roman"/>
                <w:color w:val="333333"/>
                <w:sz w:val="24"/>
                <w:szCs w:val="24"/>
              </w:rPr>
              <w:t xml:space="preserve"> 3 </w:t>
            </w:r>
            <w:r>
              <w:rPr>
                <w:rFonts w:ascii="宋体" w:hAnsi="宋体" w:eastAsia="宋体" w:cs="宋体"/>
                <w:color w:val="333333"/>
                <w:sz w:val="24"/>
                <w:szCs w:val="24"/>
              </w:rPr>
              <w:t>年内不得新增客运班线，旅游企业</w:t>
            </w:r>
            <w:r>
              <w:rPr>
                <w:rFonts w:ascii="Times New Roman" w:hAnsi="Times New Roman" w:eastAsia="Times New Roman" w:cs="Times New Roman"/>
                <w:color w:val="333333"/>
                <w:sz w:val="24"/>
                <w:szCs w:val="24"/>
              </w:rPr>
              <w:t xml:space="preserve"> 3 </w:t>
            </w:r>
            <w:r>
              <w:rPr>
                <w:rFonts w:ascii="宋体" w:hAnsi="宋体" w:eastAsia="宋体" w:cs="宋体"/>
                <w:color w:val="333333"/>
                <w:sz w:val="24"/>
                <w:szCs w:val="24"/>
              </w:rPr>
              <w:t>年内不得新增旅游车辆；</w:t>
            </w:r>
            <w:r>
              <w:rPr>
                <w:rFonts w:ascii="Times New Roman" w:hAnsi="Times New Roman" w:eastAsia="Times New Roman" w:cs="Times New Roman"/>
                <w:color w:val="333333"/>
                <w:sz w:val="24"/>
                <w:szCs w:val="24"/>
              </w:rPr>
              <w:t>…</w:t>
            </w:r>
          </w:p>
        </w:tc>
        <w:tc>
          <w:tcPr>
            <w:tcW w:w="1420" w:type="dxa"/>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89" w:hRule="atLeast"/>
        </w:trPr>
        <w:tc>
          <w:tcPr>
            <w:tcW w:w="1800" w:type="dxa"/>
            <w:vMerge w:val="restart"/>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限制性管理措</w:t>
            </w:r>
          </w:p>
        </w:tc>
        <w:tc>
          <w:tcPr>
            <w:tcW w:w="10620" w:type="dxa"/>
            <w:vMerge w:val="continue"/>
            <w:tcBorders>
              <w:right w:val="single" w:color="auto" w:sz="8" w:space="0"/>
            </w:tcBorders>
            <w:vAlign w:val="bottom"/>
          </w:tcPr>
          <w:p>
            <w:pPr>
              <w:spacing w:after="0"/>
              <w:rPr>
                <w:color w:val="auto"/>
                <w:sz w:val="16"/>
                <w:szCs w:val="16"/>
              </w:rPr>
            </w:pPr>
          </w:p>
        </w:tc>
        <w:tc>
          <w:tcPr>
            <w:tcW w:w="1420" w:type="dxa"/>
            <w:tcBorders>
              <w:right w:val="single" w:color="auto" w:sz="8" w:space="0"/>
            </w:tcBorders>
            <w:vAlign w:val="bottom"/>
          </w:tcPr>
          <w:p>
            <w:pPr>
              <w:spacing w:after="0"/>
              <w:rPr>
                <w:color w:val="auto"/>
                <w:sz w:val="16"/>
                <w:szCs w:val="16"/>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61" w:hRule="atLeast"/>
        </w:trPr>
        <w:tc>
          <w:tcPr>
            <w:tcW w:w="1800" w:type="dxa"/>
            <w:vMerge w:val="continue"/>
            <w:tcBorders>
              <w:left w:val="single" w:color="auto" w:sz="8" w:space="0"/>
              <w:right w:val="single" w:color="auto" w:sz="8" w:space="0"/>
            </w:tcBorders>
            <w:vAlign w:val="bottom"/>
          </w:tcPr>
          <w:p>
            <w:pPr>
              <w:spacing w:after="0"/>
              <w:rPr>
                <w:color w:val="auto"/>
                <w:sz w:val="14"/>
                <w:szCs w:val="14"/>
              </w:rPr>
            </w:pPr>
          </w:p>
        </w:tc>
        <w:tc>
          <w:tcPr>
            <w:tcW w:w="10620" w:type="dxa"/>
            <w:vMerge w:val="restart"/>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333333"/>
                <w:sz w:val="24"/>
                <w:szCs w:val="24"/>
              </w:rPr>
              <w:t>4</w:t>
            </w:r>
            <w:r>
              <w:rPr>
                <w:rFonts w:ascii="宋体" w:hAnsi="宋体" w:eastAsia="宋体" w:cs="宋体"/>
                <w:b/>
                <w:bCs/>
                <w:color w:val="333333"/>
                <w:sz w:val="24"/>
                <w:szCs w:val="24"/>
              </w:rPr>
              <w:t>、《交通运输部 工业和信息化部 公安部 工商总局 质检总局关于进一步做好货车非法改装和</w:t>
            </w:r>
          </w:p>
        </w:tc>
        <w:tc>
          <w:tcPr>
            <w:tcW w:w="1420" w:type="dxa"/>
            <w:tcBorders>
              <w:right w:val="single" w:color="auto" w:sz="8" w:space="0"/>
            </w:tcBorders>
            <w:vAlign w:val="bottom"/>
          </w:tcPr>
          <w:p>
            <w:pPr>
              <w:spacing w:after="0"/>
              <w:rPr>
                <w:color w:val="auto"/>
                <w:sz w:val="14"/>
                <w:szCs w:val="1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89" w:hRule="atLeast"/>
        </w:trPr>
        <w:tc>
          <w:tcPr>
            <w:tcW w:w="1800" w:type="dxa"/>
            <w:vMerge w:val="restart"/>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施。</w:t>
            </w:r>
          </w:p>
        </w:tc>
        <w:tc>
          <w:tcPr>
            <w:tcW w:w="10620" w:type="dxa"/>
            <w:vMerge w:val="continue"/>
            <w:tcBorders>
              <w:right w:val="single" w:color="auto" w:sz="8" w:space="0"/>
            </w:tcBorders>
            <w:vAlign w:val="bottom"/>
          </w:tcPr>
          <w:p>
            <w:pPr>
              <w:spacing w:after="0"/>
              <w:rPr>
                <w:color w:val="auto"/>
                <w:sz w:val="16"/>
                <w:szCs w:val="16"/>
              </w:rPr>
            </w:pPr>
          </w:p>
        </w:tc>
        <w:tc>
          <w:tcPr>
            <w:tcW w:w="1420" w:type="dxa"/>
            <w:tcBorders>
              <w:right w:val="single" w:color="auto" w:sz="8" w:space="0"/>
            </w:tcBorders>
            <w:vAlign w:val="bottom"/>
          </w:tcPr>
          <w:p>
            <w:pPr>
              <w:spacing w:after="0"/>
              <w:rPr>
                <w:color w:val="auto"/>
                <w:sz w:val="16"/>
                <w:szCs w:val="16"/>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61" w:hRule="atLeast"/>
        </w:trPr>
        <w:tc>
          <w:tcPr>
            <w:tcW w:w="1800" w:type="dxa"/>
            <w:vMerge w:val="continue"/>
            <w:tcBorders>
              <w:left w:val="single" w:color="auto" w:sz="8" w:space="0"/>
              <w:right w:val="single" w:color="auto" w:sz="8" w:space="0"/>
            </w:tcBorders>
            <w:vAlign w:val="bottom"/>
          </w:tcPr>
          <w:p>
            <w:pPr>
              <w:spacing w:after="0"/>
              <w:rPr>
                <w:color w:val="auto"/>
                <w:sz w:val="14"/>
                <w:szCs w:val="14"/>
              </w:rPr>
            </w:pPr>
          </w:p>
        </w:tc>
        <w:tc>
          <w:tcPr>
            <w:tcW w:w="10620" w:type="dxa"/>
            <w:vMerge w:val="restart"/>
            <w:tcBorders>
              <w:right w:val="single" w:color="auto" w:sz="8" w:space="0"/>
            </w:tcBorders>
            <w:vAlign w:val="bottom"/>
          </w:tcPr>
          <w:p>
            <w:pPr>
              <w:spacing w:after="0" w:line="274" w:lineRule="exact"/>
              <w:ind w:left="100"/>
              <w:rPr>
                <w:color w:val="auto"/>
                <w:sz w:val="20"/>
                <w:szCs w:val="20"/>
              </w:rPr>
            </w:pPr>
            <w:r>
              <w:rPr>
                <w:rFonts w:ascii="宋体" w:hAnsi="宋体" w:eastAsia="宋体" w:cs="宋体"/>
                <w:b/>
                <w:bCs/>
                <w:color w:val="333333"/>
                <w:sz w:val="24"/>
                <w:szCs w:val="24"/>
              </w:rPr>
              <w:t>超限超载治理工作的意见》</w:t>
            </w:r>
          </w:p>
        </w:tc>
        <w:tc>
          <w:tcPr>
            <w:tcW w:w="1420" w:type="dxa"/>
            <w:tcBorders>
              <w:right w:val="single" w:color="auto" w:sz="8" w:space="0"/>
            </w:tcBorders>
            <w:vAlign w:val="bottom"/>
          </w:tcPr>
          <w:p>
            <w:pPr>
              <w:spacing w:after="0"/>
              <w:rPr>
                <w:color w:val="auto"/>
                <w:sz w:val="14"/>
                <w:szCs w:val="1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5" w:hRule="atLeast"/>
        </w:trPr>
        <w:tc>
          <w:tcPr>
            <w:tcW w:w="1800" w:type="dxa"/>
            <w:tcBorders>
              <w:left w:val="single" w:color="auto" w:sz="8" w:space="0"/>
              <w:right w:val="single" w:color="auto" w:sz="8" w:space="0"/>
            </w:tcBorders>
            <w:vAlign w:val="bottom"/>
          </w:tcPr>
          <w:p>
            <w:pPr>
              <w:spacing w:after="0"/>
              <w:rPr>
                <w:color w:val="auto"/>
                <w:sz w:val="15"/>
                <w:szCs w:val="15"/>
              </w:rPr>
            </w:pPr>
          </w:p>
        </w:tc>
        <w:tc>
          <w:tcPr>
            <w:tcW w:w="10620" w:type="dxa"/>
            <w:vMerge w:val="continue"/>
            <w:tcBorders>
              <w:right w:val="single" w:color="auto" w:sz="8" w:space="0"/>
            </w:tcBorders>
            <w:vAlign w:val="bottom"/>
          </w:tcPr>
          <w:p>
            <w:pPr>
              <w:spacing w:after="0"/>
              <w:rPr>
                <w:color w:val="auto"/>
                <w:sz w:val="15"/>
                <w:szCs w:val="15"/>
              </w:rPr>
            </w:pPr>
          </w:p>
        </w:tc>
        <w:tc>
          <w:tcPr>
            <w:tcW w:w="1420" w:type="dxa"/>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3"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333333"/>
                <w:sz w:val="24"/>
                <w:szCs w:val="24"/>
              </w:rPr>
              <w:t>（五）加强营运车辆准入管理和综合性能检测。各地道路运输管理机构严格执行《道路运输车</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辆技术管理规定》，严把营运车辆技术关，对不符合相关标准规定的车辆，不得允许进入道路运输</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市场。加强在用货车营运资质清理，规范普通货物、大件货物和危险货物营运资质分类许可。禁止</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8" w:hRule="atLeast"/>
        </w:trPr>
        <w:tc>
          <w:tcPr>
            <w:tcW w:w="180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10620" w:type="dxa"/>
            <w:tcBorders>
              <w:bottom w:val="single" w:color="auto" w:sz="8" w:space="0"/>
              <w:right w:val="single" w:color="auto" w:sz="8" w:space="0"/>
            </w:tcBorders>
            <w:vAlign w:val="bottom"/>
          </w:tcPr>
          <w:p>
            <w:pPr>
              <w:spacing w:after="0"/>
              <w:rPr>
                <w:color w:val="auto"/>
                <w:sz w:val="3"/>
                <w:szCs w:val="3"/>
              </w:rPr>
            </w:pPr>
          </w:p>
        </w:tc>
        <w:tc>
          <w:tcPr>
            <w:tcW w:w="1420" w:type="dxa"/>
            <w:tcBorders>
              <w:bottom w:val="single" w:color="auto" w:sz="8" w:space="0"/>
              <w:right w:val="single" w:color="auto" w:sz="8" w:space="0"/>
            </w:tcBorders>
            <w:vAlign w:val="bottom"/>
          </w:tcPr>
          <w:p>
            <w:pPr>
              <w:spacing w:after="0"/>
              <w:rPr>
                <w:color w:val="auto"/>
                <w:sz w:val="3"/>
                <w:szCs w:val="3"/>
              </w:rPr>
            </w:pPr>
          </w:p>
        </w:tc>
        <w:tc>
          <w:tcPr>
            <w:tcW w:w="0" w:type="dxa"/>
            <w:vAlign w:val="bottom"/>
          </w:tcPr>
          <w:p>
            <w:pPr>
              <w:spacing w:after="0"/>
              <w:rPr>
                <w:color w:val="auto"/>
                <w:sz w:val="1"/>
                <w:szCs w:val="1"/>
              </w:rPr>
            </w:pPr>
          </w:p>
        </w:tc>
      </w:tr>
    </w:tbl>
    <w:p>
      <w:pPr>
        <w:spacing w:after="0" w:line="162" w:lineRule="exact"/>
        <w:rPr>
          <w:color w:val="auto"/>
          <w:sz w:val="20"/>
          <w:szCs w:val="20"/>
        </w:rPr>
      </w:pPr>
    </w:p>
    <w:p>
      <w:pPr>
        <w:sectPr>
          <w:pgSz w:w="16840" w:h="11906" w:orient="landscape"/>
          <w:pgMar w:top="1440" w:right="1440" w:bottom="808" w:left="1440" w:header="0" w:footer="0" w:gutter="0"/>
          <w:cols w:equalWidth="0" w:num="1">
            <w:col w:w="13958"/>
          </w:cols>
        </w:sectPr>
      </w:pPr>
    </w:p>
    <w:p>
      <w:pPr>
        <w:spacing w:after="0"/>
        <w:ind w:right="-1"/>
        <w:jc w:val="center"/>
        <w:rPr>
          <w:color w:val="auto"/>
          <w:sz w:val="20"/>
          <w:szCs w:val="20"/>
        </w:rPr>
      </w:pPr>
      <w:r>
        <w:rPr>
          <w:rFonts w:ascii="Times New Roman" w:hAnsi="Times New Roman" w:eastAsia="Times New Roman" w:cs="Times New Roman"/>
          <w:color w:val="auto"/>
          <w:sz w:val="24"/>
          <w:szCs w:val="24"/>
        </w:rPr>
        <w:t>1</w:t>
      </w:r>
    </w:p>
    <w:p>
      <w:pPr>
        <w:sectPr>
          <w:type w:val="continuous"/>
          <w:pgSz w:w="16840" w:h="11906" w:orient="landscape"/>
          <w:pgMar w:top="1440" w:right="1440" w:bottom="808" w:left="1440" w:header="0" w:footer="0" w:gutter="0"/>
          <w:cols w:equalWidth="0" w:num="1">
            <w:col w:w="13958"/>
          </w:cols>
        </w:sectPr>
      </w:pPr>
    </w:p>
    <w:p>
      <w:pPr>
        <w:spacing w:after="0" w:line="298" w:lineRule="exact"/>
        <w:rPr>
          <w:color w:val="auto"/>
          <w:sz w:val="20"/>
          <w:szCs w:val="20"/>
        </w:rPr>
      </w:pPr>
      <w:bookmarkStart w:id="0" w:name="page8"/>
      <w:bookmarkEnd w:id="0"/>
    </w:p>
    <w:tbl>
      <w:tblPr>
        <w:tblStyle w:val="2"/>
        <w:tblW w:w="0" w:type="auto"/>
        <w:tblInd w:w="70" w:type="dxa"/>
        <w:tblLayout w:type="fixed"/>
        <w:tblCellMar>
          <w:top w:w="0" w:type="dxa"/>
          <w:left w:w="0" w:type="dxa"/>
          <w:bottom w:w="0" w:type="dxa"/>
          <w:right w:w="0" w:type="dxa"/>
        </w:tblCellMar>
      </w:tblPr>
      <w:tblGrid>
        <w:gridCol w:w="1800"/>
        <w:gridCol w:w="10620"/>
        <w:gridCol w:w="1420"/>
        <w:gridCol w:w="360"/>
      </w:tblGrid>
      <w:tr>
        <w:tblPrEx>
          <w:tblCellMar>
            <w:top w:w="0" w:type="dxa"/>
            <w:left w:w="0" w:type="dxa"/>
            <w:bottom w:w="0" w:type="dxa"/>
            <w:right w:w="0" w:type="dxa"/>
          </w:tblCellMar>
        </w:tblPrEx>
        <w:trPr>
          <w:trHeight w:val="319" w:hRule="atLeast"/>
        </w:trPr>
        <w:tc>
          <w:tcPr>
            <w:tcW w:w="1800" w:type="dxa"/>
            <w:tcBorders>
              <w:top w:val="single" w:color="auto" w:sz="8" w:space="0"/>
              <w:left w:val="single" w:color="auto" w:sz="8" w:space="0"/>
              <w:right w:val="single" w:color="auto" w:sz="8" w:space="0"/>
            </w:tcBorders>
            <w:vAlign w:val="bottom"/>
          </w:tcPr>
          <w:p>
            <w:pPr>
              <w:spacing w:after="0"/>
              <w:rPr>
                <w:color w:val="auto"/>
                <w:sz w:val="24"/>
                <w:szCs w:val="24"/>
              </w:rPr>
            </w:pPr>
          </w:p>
        </w:tc>
        <w:tc>
          <w:tcPr>
            <w:tcW w:w="10620" w:type="dxa"/>
            <w:tcBorders>
              <w:top w:val="single" w:color="auto" w:sz="8" w:space="0"/>
              <w:right w:val="single" w:color="auto" w:sz="8" w:space="0"/>
            </w:tcBorders>
            <w:vAlign w:val="bottom"/>
          </w:tcPr>
          <w:p>
            <w:pPr>
              <w:spacing w:after="0" w:line="291" w:lineRule="exact"/>
              <w:ind w:left="100"/>
              <w:rPr>
                <w:color w:val="auto"/>
                <w:sz w:val="20"/>
                <w:szCs w:val="20"/>
              </w:rPr>
            </w:pPr>
            <w:r>
              <w:rPr>
                <w:rFonts w:ascii="宋体" w:hAnsi="宋体" w:eastAsia="宋体" w:cs="宋体"/>
                <w:color w:val="333333"/>
                <w:sz w:val="24"/>
                <w:szCs w:val="24"/>
              </w:rPr>
              <w:t>大件运输专用车辆从事普通货物运输。</w:t>
            </w:r>
            <w:r>
              <w:rPr>
                <w:rFonts w:ascii="Arial" w:hAnsi="Arial" w:eastAsia="Arial" w:cs="Arial"/>
                <w:color w:val="333333"/>
                <w:sz w:val="24"/>
                <w:szCs w:val="24"/>
              </w:rPr>
              <w:t>…</w:t>
            </w:r>
          </w:p>
        </w:tc>
        <w:tc>
          <w:tcPr>
            <w:tcW w:w="1420" w:type="dxa"/>
            <w:tcBorders>
              <w:top w:val="single" w:color="auto" w:sz="8" w:space="0"/>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64"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333333"/>
                <w:sz w:val="24"/>
                <w:szCs w:val="24"/>
              </w:rPr>
              <w:t>5</w:t>
            </w:r>
            <w:r>
              <w:rPr>
                <w:rFonts w:ascii="宋体" w:hAnsi="宋体" w:eastAsia="宋体" w:cs="宋体"/>
                <w:b/>
                <w:bCs/>
                <w:color w:val="333333"/>
                <w:sz w:val="24"/>
                <w:szCs w:val="24"/>
              </w:rPr>
              <w:t>、《道路旅客运输及客运站管理规定》</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36"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91" w:lineRule="exact"/>
              <w:ind w:left="580"/>
              <w:rPr>
                <w:color w:val="auto"/>
                <w:sz w:val="20"/>
                <w:szCs w:val="20"/>
              </w:rPr>
            </w:pPr>
            <w:r>
              <w:rPr>
                <w:rFonts w:ascii="宋体" w:hAnsi="宋体" w:eastAsia="宋体" w:cs="宋体"/>
                <w:color w:val="333333"/>
                <w:sz w:val="24"/>
                <w:szCs w:val="24"/>
              </w:rPr>
              <w:t>第四条</w:t>
            </w:r>
            <w:r>
              <w:rPr>
                <w:rFonts w:ascii="Arial" w:hAnsi="Arial" w:eastAsia="Arial" w:cs="Arial"/>
                <w:color w:val="333333"/>
                <w:sz w:val="24"/>
                <w:szCs w:val="24"/>
              </w:rPr>
              <w:t xml:space="preserve"> …</w:t>
            </w:r>
            <w:r>
              <w:rPr>
                <w:rFonts w:ascii="宋体" w:hAnsi="宋体" w:eastAsia="宋体" w:cs="宋体"/>
                <w:color w:val="333333"/>
                <w:sz w:val="24"/>
                <w:szCs w:val="24"/>
              </w:rPr>
              <w:t>道路客运及客运站经营者应当依法经营，诚实信用，公平竞争，优质服务。</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333333"/>
                <w:sz w:val="24"/>
                <w:szCs w:val="24"/>
              </w:rPr>
              <w:t>第五条 国家实行道路客运企业等级评定制度和质量信誉考核制度，鼓励道路客运经营者实行规</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模化、集约化、公司化经营，禁止挂靠经营。</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67"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333333"/>
                <w:sz w:val="24"/>
                <w:szCs w:val="24"/>
              </w:rPr>
              <w:t>6</w:t>
            </w:r>
            <w:r>
              <w:rPr>
                <w:rFonts w:ascii="宋体" w:hAnsi="宋体" w:eastAsia="宋体" w:cs="宋体"/>
                <w:b/>
                <w:bCs/>
                <w:color w:val="333333"/>
                <w:sz w:val="24"/>
                <w:szCs w:val="24"/>
              </w:rPr>
              <w:t>、《道路货物运输及站场管理规定》</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34"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333333"/>
                <w:sz w:val="24"/>
                <w:szCs w:val="24"/>
              </w:rPr>
              <w:t>第三条 道路货物运输和货运站经营者应当依法经营，诚实信用，公平竞争。</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67"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333333"/>
                <w:sz w:val="24"/>
                <w:szCs w:val="24"/>
              </w:rPr>
              <w:t>7</w:t>
            </w:r>
            <w:r>
              <w:rPr>
                <w:rFonts w:ascii="宋体" w:hAnsi="宋体" w:eastAsia="宋体" w:cs="宋体"/>
                <w:b/>
                <w:bCs/>
                <w:color w:val="333333"/>
                <w:sz w:val="24"/>
                <w:szCs w:val="24"/>
              </w:rPr>
              <w:t>、《铁路运输企业准入许可办法》</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92" w:lineRule="exact"/>
              <w:ind w:left="580"/>
              <w:rPr>
                <w:color w:val="auto"/>
                <w:sz w:val="20"/>
                <w:szCs w:val="20"/>
              </w:rPr>
            </w:pPr>
            <w:r>
              <w:rPr>
                <w:rFonts w:ascii="宋体" w:hAnsi="宋体" w:eastAsia="宋体" w:cs="宋体"/>
                <w:color w:val="333333"/>
                <w:sz w:val="24"/>
                <w:szCs w:val="24"/>
              </w:rPr>
              <w:t>第七条</w:t>
            </w:r>
            <w:r>
              <w:rPr>
                <w:rFonts w:ascii="Times New Roman" w:hAnsi="Times New Roman" w:eastAsia="Times New Roman" w:cs="Times New Roman"/>
                <w:color w:val="333333"/>
                <w:sz w:val="24"/>
                <w:szCs w:val="24"/>
              </w:rPr>
              <w:t xml:space="preserve"> …</w:t>
            </w:r>
            <w:r>
              <w:rPr>
                <w:rFonts w:ascii="宋体" w:hAnsi="宋体" w:eastAsia="宋体" w:cs="宋体"/>
                <w:color w:val="333333"/>
                <w:sz w:val="24"/>
                <w:szCs w:val="24"/>
              </w:rPr>
              <w:t>在最近</w:t>
            </w:r>
            <w:r>
              <w:rPr>
                <w:rFonts w:ascii="Times New Roman" w:hAnsi="Times New Roman" w:eastAsia="Times New Roman" w:cs="Times New Roman"/>
                <w:color w:val="333333"/>
                <w:sz w:val="24"/>
                <w:szCs w:val="24"/>
              </w:rPr>
              <w:t xml:space="preserve"> 2 </w:t>
            </w:r>
            <w:r>
              <w:rPr>
                <w:rFonts w:ascii="宋体" w:hAnsi="宋体" w:eastAsia="宋体" w:cs="宋体"/>
                <w:color w:val="333333"/>
                <w:sz w:val="24"/>
                <w:szCs w:val="24"/>
              </w:rPr>
              <w:t>年内因生产安全事故受到行政处分的，不得担任铁路运输相关业务的负责人</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36"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和专业技术管理的负责人。</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333333"/>
                <w:sz w:val="24"/>
                <w:szCs w:val="24"/>
              </w:rPr>
              <w:t>第二十六条 申请企业隐瞒有关情况或者提供虚假材料申请铁路运输许可的，国家铁路局不予受</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64"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92" w:lineRule="exact"/>
              <w:ind w:left="100"/>
              <w:rPr>
                <w:color w:val="auto"/>
                <w:sz w:val="20"/>
                <w:szCs w:val="20"/>
              </w:rPr>
            </w:pPr>
            <w:r>
              <w:rPr>
                <w:rFonts w:ascii="宋体" w:hAnsi="宋体" w:eastAsia="宋体" w:cs="宋体"/>
                <w:color w:val="333333"/>
                <w:sz w:val="24"/>
                <w:szCs w:val="24"/>
              </w:rPr>
              <w:t>理或者不予许可，并给予警告，申请企业在</w:t>
            </w:r>
            <w:r>
              <w:rPr>
                <w:rFonts w:ascii="Times New Roman" w:hAnsi="Times New Roman" w:eastAsia="Times New Roman" w:cs="Times New Roman"/>
                <w:color w:val="333333"/>
                <w:sz w:val="24"/>
                <w:szCs w:val="24"/>
              </w:rPr>
              <w:t xml:space="preserve"> 1 </w:t>
            </w:r>
            <w:r>
              <w:rPr>
                <w:rFonts w:ascii="宋体" w:hAnsi="宋体" w:eastAsia="宋体" w:cs="宋体"/>
                <w:color w:val="333333"/>
                <w:sz w:val="24"/>
                <w:szCs w:val="24"/>
              </w:rPr>
              <w:t>年内不得再次申请铁路运输许可。</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36"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91" w:lineRule="exact"/>
              <w:ind w:left="580"/>
              <w:rPr>
                <w:color w:val="auto"/>
                <w:sz w:val="20"/>
                <w:szCs w:val="20"/>
              </w:rPr>
            </w:pPr>
            <w:r>
              <w:rPr>
                <w:rFonts w:ascii="宋体" w:hAnsi="宋体" w:eastAsia="宋体" w:cs="宋体"/>
                <w:color w:val="333333"/>
                <w:sz w:val="24"/>
                <w:szCs w:val="24"/>
              </w:rPr>
              <w:t>第二十七条</w:t>
            </w:r>
            <w:r>
              <w:rPr>
                <w:rFonts w:ascii="Arial" w:hAnsi="Arial" w:eastAsia="Arial" w:cs="Arial"/>
                <w:color w:val="333333"/>
                <w:sz w:val="24"/>
                <w:szCs w:val="24"/>
              </w:rPr>
              <w:t xml:space="preserve"> …</w:t>
            </w:r>
            <w:r>
              <w:rPr>
                <w:rFonts w:ascii="宋体" w:hAnsi="宋体" w:eastAsia="宋体" w:cs="宋体"/>
                <w:color w:val="333333"/>
                <w:sz w:val="24"/>
                <w:szCs w:val="24"/>
              </w:rPr>
              <w:t>被许可企业以欺骗、贿赂等不正当手段取得行政许可的，应当予以撤销，申请企</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64"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92" w:lineRule="exact"/>
              <w:ind w:left="100"/>
              <w:rPr>
                <w:color w:val="auto"/>
                <w:sz w:val="20"/>
                <w:szCs w:val="20"/>
              </w:rPr>
            </w:pPr>
            <w:r>
              <w:rPr>
                <w:rFonts w:ascii="宋体" w:hAnsi="宋体" w:eastAsia="宋体" w:cs="宋体"/>
                <w:color w:val="333333"/>
                <w:sz w:val="24"/>
                <w:szCs w:val="24"/>
              </w:rPr>
              <w:t>业在</w:t>
            </w:r>
            <w:r>
              <w:rPr>
                <w:rFonts w:ascii="Times New Roman" w:hAnsi="Times New Roman" w:eastAsia="Times New Roman" w:cs="Times New Roman"/>
                <w:color w:val="333333"/>
                <w:sz w:val="24"/>
                <w:szCs w:val="24"/>
              </w:rPr>
              <w:t xml:space="preserve"> 3 </w:t>
            </w:r>
            <w:r>
              <w:rPr>
                <w:rFonts w:ascii="宋体" w:hAnsi="宋体" w:eastAsia="宋体" w:cs="宋体"/>
                <w:color w:val="333333"/>
                <w:sz w:val="24"/>
                <w:szCs w:val="24"/>
              </w:rPr>
              <w:t>年内不得再次申请铁路运输许可。</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333333"/>
                <w:sz w:val="24"/>
                <w:szCs w:val="24"/>
              </w:rPr>
              <w:t>8</w:t>
            </w:r>
            <w:r>
              <w:rPr>
                <w:rFonts w:ascii="宋体" w:hAnsi="宋体" w:eastAsia="宋体" w:cs="宋体"/>
                <w:b/>
                <w:bCs/>
                <w:color w:val="333333"/>
                <w:sz w:val="24"/>
                <w:szCs w:val="24"/>
              </w:rPr>
              <w:t>、《国内水路运输管理条例》</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36"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333333"/>
                <w:sz w:val="24"/>
                <w:szCs w:val="24"/>
              </w:rPr>
              <w:t>第五条 经营水路运输及其辅助业务，应当遵守法律、法规，诚实守信。</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3"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333333"/>
                <w:sz w:val="24"/>
                <w:szCs w:val="24"/>
              </w:rPr>
              <w:t>国务院交通运输主管部门依法对水路运输市场实施监督管理，对水路运输及其辅助业务的违法</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经营活动实施处罚，并建立经营者诚信管理制度，及时向社会公告监督检查情况。</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40" w:hRule="atLeast"/>
        </w:trPr>
        <w:tc>
          <w:tcPr>
            <w:tcW w:w="180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10620" w:type="dxa"/>
            <w:tcBorders>
              <w:bottom w:val="single" w:color="auto" w:sz="8" w:space="0"/>
              <w:right w:val="single" w:color="auto" w:sz="8" w:space="0"/>
            </w:tcBorders>
            <w:vAlign w:val="bottom"/>
          </w:tcPr>
          <w:p>
            <w:pPr>
              <w:spacing w:after="0"/>
              <w:rPr>
                <w:color w:val="auto"/>
                <w:sz w:val="3"/>
                <w:szCs w:val="3"/>
              </w:rPr>
            </w:pPr>
          </w:p>
        </w:tc>
        <w:tc>
          <w:tcPr>
            <w:tcW w:w="1420" w:type="dxa"/>
            <w:tcBorders>
              <w:bottom w:val="single" w:color="auto" w:sz="8" w:space="0"/>
              <w:right w:val="single" w:color="auto" w:sz="8" w:space="0"/>
            </w:tcBorders>
            <w:vAlign w:val="bottom"/>
          </w:tcPr>
          <w:p>
            <w:pPr>
              <w:spacing w:after="0"/>
              <w:rPr>
                <w:color w:val="auto"/>
                <w:sz w:val="3"/>
                <w:szCs w:val="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14" w:hRule="atLeast"/>
        </w:trPr>
        <w:tc>
          <w:tcPr>
            <w:tcW w:w="1800" w:type="dxa"/>
            <w:tcBorders>
              <w:left w:val="single" w:color="auto" w:sz="8" w:space="0"/>
              <w:right w:val="single" w:color="auto" w:sz="8" w:space="0"/>
            </w:tcBorders>
            <w:vAlign w:val="bottom"/>
          </w:tcPr>
          <w:p>
            <w:pPr>
              <w:spacing w:after="0" w:line="292" w:lineRule="exact"/>
              <w:ind w:left="120"/>
              <w:rPr>
                <w:color w:val="auto"/>
                <w:sz w:val="20"/>
                <w:szCs w:val="20"/>
              </w:rPr>
            </w:pPr>
            <w:r>
              <w:rPr>
                <w:rFonts w:ascii="Times New Roman" w:hAnsi="Times New Roman" w:eastAsia="Times New Roman" w:cs="Times New Roman"/>
                <w:color w:val="333333"/>
                <w:sz w:val="24"/>
                <w:szCs w:val="24"/>
              </w:rPr>
              <w:t>2</w:t>
            </w:r>
            <w:r>
              <w:rPr>
                <w:rFonts w:ascii="宋体" w:hAnsi="宋体" w:eastAsia="宋体" w:cs="宋体"/>
                <w:color w:val="333333"/>
                <w:sz w:val="24"/>
                <w:szCs w:val="24"/>
              </w:rPr>
              <w:t>、对失信主体</w:t>
            </w:r>
          </w:p>
        </w:tc>
        <w:tc>
          <w:tcPr>
            <w:tcW w:w="1062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333333"/>
                <w:sz w:val="24"/>
                <w:szCs w:val="24"/>
              </w:rPr>
              <w:t>1</w:t>
            </w:r>
            <w:r>
              <w:rPr>
                <w:rFonts w:ascii="宋体" w:hAnsi="宋体" w:eastAsia="宋体" w:cs="宋体"/>
                <w:b/>
                <w:bCs/>
                <w:color w:val="333333"/>
                <w:sz w:val="24"/>
                <w:szCs w:val="24"/>
              </w:rPr>
              <w:t>、《快递市场管理办法》</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36" w:hRule="atLeast"/>
        </w:trPr>
        <w:tc>
          <w:tcPr>
            <w:tcW w:w="180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申请从事寄递</w:t>
            </w:r>
          </w:p>
        </w:tc>
        <w:tc>
          <w:tcPr>
            <w:tcW w:w="1062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333333"/>
                <w:sz w:val="24"/>
                <w:szCs w:val="24"/>
              </w:rPr>
              <w:t>第四条 经营快递业务的企业应当依法经营，诚实守信，公平竞争，为用户提供迅速、准确、安</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w w:val="97"/>
                <w:sz w:val="24"/>
                <w:szCs w:val="24"/>
              </w:rPr>
              <w:t>物流业务的，在</w:t>
            </w:r>
          </w:p>
        </w:tc>
        <w:tc>
          <w:tcPr>
            <w:tcW w:w="1062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全、方便的快递服务。</w:t>
            </w:r>
          </w:p>
        </w:tc>
        <w:tc>
          <w:tcPr>
            <w:tcW w:w="1420" w:type="dxa"/>
            <w:vMerge w:val="restart"/>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国家邮政局</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5" w:hRule="atLeast"/>
        </w:trPr>
        <w:tc>
          <w:tcPr>
            <w:tcW w:w="1800" w:type="dxa"/>
            <w:vMerge w:val="restart"/>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经营许可方面</w:t>
            </w:r>
          </w:p>
        </w:tc>
        <w:tc>
          <w:tcPr>
            <w:tcW w:w="10620" w:type="dxa"/>
            <w:vMerge w:val="restart"/>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333333"/>
                <w:w w:val="98"/>
                <w:sz w:val="24"/>
                <w:szCs w:val="24"/>
              </w:rPr>
              <w:t>第九条 国家对快递业务实行经营许可制度。经营快递业务，应当依照《中华人民共和国邮政法》</w:t>
            </w:r>
          </w:p>
        </w:tc>
        <w:tc>
          <w:tcPr>
            <w:tcW w:w="1420" w:type="dxa"/>
            <w:vMerge w:val="continue"/>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5" w:hRule="atLeast"/>
        </w:trPr>
        <w:tc>
          <w:tcPr>
            <w:tcW w:w="1800" w:type="dxa"/>
            <w:vMerge w:val="continue"/>
            <w:tcBorders>
              <w:left w:val="single" w:color="auto" w:sz="8" w:space="0"/>
              <w:right w:val="single" w:color="auto" w:sz="8" w:space="0"/>
            </w:tcBorders>
            <w:vAlign w:val="bottom"/>
          </w:tcPr>
          <w:p>
            <w:pPr>
              <w:spacing w:after="0"/>
              <w:rPr>
                <w:color w:val="auto"/>
                <w:sz w:val="15"/>
                <w:szCs w:val="15"/>
              </w:rPr>
            </w:pPr>
          </w:p>
        </w:tc>
        <w:tc>
          <w:tcPr>
            <w:tcW w:w="10620" w:type="dxa"/>
            <w:vMerge w:val="continue"/>
            <w:tcBorders>
              <w:right w:val="single" w:color="auto" w:sz="8" w:space="0"/>
            </w:tcBorders>
            <w:vAlign w:val="bottom"/>
          </w:tcPr>
          <w:p>
            <w:pPr>
              <w:spacing w:after="0"/>
              <w:rPr>
                <w:color w:val="auto"/>
                <w:sz w:val="15"/>
                <w:szCs w:val="15"/>
              </w:rPr>
            </w:pPr>
          </w:p>
        </w:tc>
        <w:tc>
          <w:tcPr>
            <w:tcW w:w="1420" w:type="dxa"/>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依法实行限制</w:t>
            </w:r>
          </w:p>
        </w:tc>
        <w:tc>
          <w:tcPr>
            <w:tcW w:w="1062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的规定，向邮政管理部门提出申请，取得快递业务经营许可；未经许可，任何单位和个人不得经营</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性管理措施。</w:t>
            </w:r>
          </w:p>
        </w:tc>
        <w:tc>
          <w:tcPr>
            <w:tcW w:w="1062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快递业务。</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40" w:hRule="atLeast"/>
        </w:trPr>
        <w:tc>
          <w:tcPr>
            <w:tcW w:w="180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10620" w:type="dxa"/>
            <w:tcBorders>
              <w:bottom w:val="single" w:color="auto" w:sz="8" w:space="0"/>
              <w:right w:val="single" w:color="auto" w:sz="8" w:space="0"/>
            </w:tcBorders>
            <w:vAlign w:val="bottom"/>
          </w:tcPr>
          <w:p>
            <w:pPr>
              <w:spacing w:after="0"/>
              <w:rPr>
                <w:color w:val="auto"/>
                <w:sz w:val="3"/>
                <w:szCs w:val="3"/>
              </w:rPr>
            </w:pPr>
          </w:p>
        </w:tc>
        <w:tc>
          <w:tcPr>
            <w:tcW w:w="1420" w:type="dxa"/>
            <w:tcBorders>
              <w:bottom w:val="single" w:color="auto" w:sz="8" w:space="0"/>
              <w:right w:val="single" w:color="auto" w:sz="8" w:space="0"/>
            </w:tcBorders>
            <w:vAlign w:val="bottom"/>
          </w:tcPr>
          <w:p>
            <w:pPr>
              <w:spacing w:after="0"/>
              <w:rPr>
                <w:color w:val="auto"/>
                <w:sz w:val="3"/>
                <w:szCs w:val="3"/>
              </w:rPr>
            </w:pPr>
          </w:p>
        </w:tc>
        <w:tc>
          <w:tcPr>
            <w:tcW w:w="0" w:type="dxa"/>
            <w:vAlign w:val="bottom"/>
          </w:tcPr>
          <w:p>
            <w:pPr>
              <w:spacing w:after="0"/>
              <w:rPr>
                <w:color w:val="auto"/>
                <w:sz w:val="1"/>
                <w:szCs w:val="1"/>
              </w:rPr>
            </w:pPr>
          </w:p>
        </w:tc>
      </w:tr>
    </w:tbl>
    <w:p>
      <w:pPr>
        <w:spacing w:after="0" w:line="57" w:lineRule="exact"/>
        <w:rPr>
          <w:color w:val="auto"/>
          <w:sz w:val="20"/>
          <w:szCs w:val="20"/>
        </w:rPr>
      </w:pPr>
    </w:p>
    <w:p>
      <w:pPr>
        <w:sectPr>
          <w:pgSz w:w="16840" w:h="11906" w:orient="landscape"/>
          <w:pgMar w:top="1440" w:right="1440" w:bottom="808" w:left="1440" w:header="0" w:footer="0" w:gutter="0"/>
          <w:cols w:equalWidth="0" w:num="1">
            <w:col w:w="13958"/>
          </w:cols>
        </w:sectPr>
      </w:pPr>
    </w:p>
    <w:p>
      <w:pPr>
        <w:spacing w:after="0"/>
        <w:ind w:right="-1"/>
        <w:jc w:val="center"/>
        <w:rPr>
          <w:color w:val="auto"/>
          <w:sz w:val="20"/>
          <w:szCs w:val="20"/>
        </w:rPr>
      </w:pPr>
      <w:r>
        <w:rPr>
          <w:rFonts w:ascii="Times New Roman" w:hAnsi="Times New Roman" w:eastAsia="Times New Roman" w:cs="Times New Roman"/>
          <w:color w:val="auto"/>
          <w:sz w:val="24"/>
          <w:szCs w:val="24"/>
        </w:rPr>
        <w:t>2</w:t>
      </w:r>
    </w:p>
    <w:p>
      <w:pPr>
        <w:sectPr>
          <w:type w:val="continuous"/>
          <w:pgSz w:w="16840" w:h="11906" w:orient="landscape"/>
          <w:pgMar w:top="1440" w:right="1440" w:bottom="808" w:left="1440" w:header="0" w:footer="0" w:gutter="0"/>
          <w:cols w:equalWidth="0" w:num="1">
            <w:col w:w="13958"/>
          </w:cols>
        </w:sectPr>
      </w:pPr>
    </w:p>
    <w:p>
      <w:pPr>
        <w:spacing w:after="0" w:line="298" w:lineRule="exact"/>
        <w:rPr>
          <w:color w:val="auto"/>
          <w:sz w:val="20"/>
          <w:szCs w:val="20"/>
        </w:rPr>
      </w:pPr>
      <w:bookmarkStart w:id="1" w:name="page9"/>
      <w:bookmarkEnd w:id="1"/>
    </w:p>
    <w:tbl>
      <w:tblPr>
        <w:tblStyle w:val="2"/>
        <w:tblW w:w="0" w:type="auto"/>
        <w:tblInd w:w="70" w:type="dxa"/>
        <w:tblLayout w:type="fixed"/>
        <w:tblCellMar>
          <w:top w:w="0" w:type="dxa"/>
          <w:left w:w="0" w:type="dxa"/>
          <w:bottom w:w="0" w:type="dxa"/>
          <w:right w:w="0" w:type="dxa"/>
        </w:tblCellMar>
      </w:tblPr>
      <w:tblGrid>
        <w:gridCol w:w="1800"/>
        <w:gridCol w:w="1540"/>
        <w:gridCol w:w="9080"/>
        <w:gridCol w:w="1420"/>
        <w:gridCol w:w="360"/>
      </w:tblGrid>
      <w:tr>
        <w:tblPrEx>
          <w:tblCellMar>
            <w:top w:w="0" w:type="dxa"/>
            <w:left w:w="0" w:type="dxa"/>
            <w:bottom w:w="0" w:type="dxa"/>
            <w:right w:w="0" w:type="dxa"/>
          </w:tblCellMar>
        </w:tblPrEx>
        <w:trPr>
          <w:trHeight w:val="319" w:hRule="atLeast"/>
        </w:trPr>
        <w:tc>
          <w:tcPr>
            <w:tcW w:w="1800" w:type="dxa"/>
            <w:tcBorders>
              <w:top w:val="single" w:color="auto" w:sz="8" w:space="0"/>
              <w:left w:val="single" w:color="auto" w:sz="8" w:space="0"/>
              <w:right w:val="single" w:color="auto" w:sz="8" w:space="0"/>
            </w:tcBorders>
            <w:vAlign w:val="bottom"/>
          </w:tcPr>
          <w:p>
            <w:pPr>
              <w:spacing w:after="0"/>
              <w:rPr>
                <w:color w:val="auto"/>
                <w:sz w:val="24"/>
                <w:szCs w:val="24"/>
              </w:rPr>
            </w:pPr>
          </w:p>
        </w:tc>
        <w:tc>
          <w:tcPr>
            <w:tcW w:w="1540" w:type="dxa"/>
            <w:tcBorders>
              <w:top w:val="single" w:color="auto" w:sz="8" w:space="0"/>
            </w:tcBorders>
            <w:vAlign w:val="bottom"/>
          </w:tcPr>
          <w:p>
            <w:pPr>
              <w:spacing w:after="0" w:line="274" w:lineRule="exact"/>
              <w:ind w:left="580"/>
              <w:rPr>
                <w:color w:val="auto"/>
                <w:sz w:val="20"/>
                <w:szCs w:val="20"/>
              </w:rPr>
            </w:pPr>
            <w:r>
              <w:rPr>
                <w:rFonts w:ascii="宋体" w:hAnsi="宋体" w:eastAsia="宋体" w:cs="宋体"/>
                <w:color w:val="333333"/>
                <w:sz w:val="24"/>
                <w:szCs w:val="24"/>
              </w:rPr>
              <w:t>第十条</w:t>
            </w:r>
          </w:p>
        </w:tc>
        <w:tc>
          <w:tcPr>
            <w:tcW w:w="9080" w:type="dxa"/>
            <w:tcBorders>
              <w:top w:val="single" w:color="auto" w:sz="8" w:space="0"/>
              <w:right w:val="single" w:color="auto" w:sz="8" w:space="0"/>
            </w:tcBorders>
            <w:vAlign w:val="bottom"/>
          </w:tcPr>
          <w:p>
            <w:pPr>
              <w:spacing w:after="0" w:line="274" w:lineRule="exact"/>
              <w:jc w:val="right"/>
              <w:rPr>
                <w:color w:val="auto"/>
                <w:sz w:val="20"/>
                <w:szCs w:val="20"/>
              </w:rPr>
            </w:pPr>
            <w:r>
              <w:rPr>
                <w:rFonts w:ascii="宋体" w:hAnsi="宋体" w:eastAsia="宋体" w:cs="宋体"/>
                <w:color w:val="333333"/>
                <w:sz w:val="24"/>
                <w:szCs w:val="24"/>
              </w:rPr>
              <w:t>邮政管理部门根据企业的服务能力审核经营许可的业务范围和地域范围，对符合规定</w:t>
            </w:r>
          </w:p>
        </w:tc>
        <w:tc>
          <w:tcPr>
            <w:tcW w:w="1420" w:type="dxa"/>
            <w:tcBorders>
              <w:top w:val="single" w:color="auto" w:sz="8" w:space="0"/>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gridSpan w:val="2"/>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条件的，发放快递业务经营许可证，并注明经营许可的业务范围和地域范围。</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64"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gridSpan w:val="2"/>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auto"/>
                <w:sz w:val="24"/>
                <w:szCs w:val="24"/>
              </w:rPr>
              <w:t>2</w:t>
            </w:r>
            <w:r>
              <w:rPr>
                <w:rFonts w:ascii="宋体" w:hAnsi="宋体" w:eastAsia="宋体" w:cs="宋体"/>
                <w:b/>
                <w:bCs/>
                <w:color w:val="auto"/>
                <w:sz w:val="24"/>
                <w:szCs w:val="24"/>
              </w:rPr>
              <w:t>、《关于全面加强电子商务领域诚信建设的指导意见</w:t>
            </w:r>
            <w:r>
              <w:rPr>
                <w:rFonts w:ascii="宋体" w:hAnsi="宋体" w:eastAsia="宋体" w:cs="宋体"/>
                <w:color w:val="333333"/>
                <w:sz w:val="24"/>
                <w:szCs w:val="24"/>
              </w:rPr>
              <w:t>》</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36"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gridSpan w:val="2"/>
            <w:tcBorders>
              <w:right w:val="single" w:color="auto" w:sz="8" w:space="0"/>
            </w:tcBorders>
            <w:vAlign w:val="bottom"/>
          </w:tcPr>
          <w:p>
            <w:pPr>
              <w:spacing w:after="0" w:line="274" w:lineRule="exact"/>
              <w:jc w:val="right"/>
              <w:rPr>
                <w:color w:val="auto"/>
                <w:sz w:val="20"/>
                <w:szCs w:val="20"/>
              </w:rPr>
            </w:pPr>
            <w:r>
              <w:rPr>
                <w:rFonts w:ascii="宋体" w:hAnsi="宋体" w:eastAsia="宋体" w:cs="宋体"/>
                <w:color w:val="333333"/>
                <w:sz w:val="24"/>
                <w:szCs w:val="24"/>
              </w:rPr>
              <w:t>（九）建立事前信用承诺制度。全面建立市场主体事前信用承诺制度，推动电子商务平台、入</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gridSpan w:val="2"/>
            <w:tcBorders>
              <w:right w:val="single" w:color="auto" w:sz="8" w:space="0"/>
            </w:tcBorders>
            <w:vAlign w:val="bottom"/>
          </w:tcPr>
          <w:p>
            <w:pPr>
              <w:spacing w:after="0" w:line="274" w:lineRule="exact"/>
              <w:jc w:val="right"/>
              <w:rPr>
                <w:color w:val="auto"/>
                <w:sz w:val="20"/>
                <w:szCs w:val="20"/>
              </w:rPr>
            </w:pPr>
            <w:r>
              <w:rPr>
                <w:rFonts w:ascii="宋体" w:hAnsi="宋体" w:eastAsia="宋体" w:cs="宋体"/>
                <w:color w:val="333333"/>
                <w:sz w:val="24"/>
                <w:szCs w:val="24"/>
              </w:rPr>
              <w:t>驻商家、个人卖家、物流企业等提供商品销售和服务的市场主体就遵纪守法、信息真实性、产品质</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3"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gridSpan w:val="2"/>
            <w:tcBorders>
              <w:right w:val="single" w:color="auto" w:sz="8" w:space="0"/>
            </w:tcBorders>
            <w:vAlign w:val="bottom"/>
          </w:tcPr>
          <w:p>
            <w:pPr>
              <w:spacing w:after="0" w:line="274" w:lineRule="exact"/>
              <w:jc w:val="right"/>
              <w:rPr>
                <w:color w:val="auto"/>
                <w:sz w:val="20"/>
                <w:szCs w:val="20"/>
              </w:rPr>
            </w:pPr>
            <w:r>
              <w:rPr>
                <w:rFonts w:ascii="宋体" w:hAnsi="宋体" w:eastAsia="宋体" w:cs="宋体"/>
                <w:color w:val="333333"/>
                <w:sz w:val="24"/>
                <w:szCs w:val="24"/>
              </w:rPr>
              <w:t>量、服务保证、承担的责任与义务等情况作出信用承诺，以规范格式向社会公开，并承诺违法失信</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48"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gridSpan w:val="2"/>
            <w:tcBorders>
              <w:right w:val="single" w:color="auto" w:sz="8" w:space="0"/>
            </w:tcBorders>
            <w:vAlign w:val="bottom"/>
          </w:tcPr>
          <w:p>
            <w:pPr>
              <w:spacing w:after="0" w:line="274" w:lineRule="exact"/>
              <w:jc w:val="right"/>
              <w:rPr>
                <w:color w:val="auto"/>
                <w:sz w:val="20"/>
                <w:szCs w:val="20"/>
              </w:rPr>
            </w:pPr>
            <w:r>
              <w:rPr>
                <w:rFonts w:ascii="宋体" w:hAnsi="宋体" w:eastAsia="宋体" w:cs="宋体"/>
                <w:color w:val="333333"/>
                <w:sz w:val="24"/>
                <w:szCs w:val="24"/>
              </w:rPr>
              <w:t>后将自愿接受约束和惩戒。信用承诺事项纳入市场主体信用档案，接受社会监督，并作为事中事后</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3"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540" w:type="dxa"/>
            <w:vAlign w:val="bottom"/>
          </w:tcPr>
          <w:p>
            <w:pPr>
              <w:spacing w:after="0" w:line="274" w:lineRule="exact"/>
              <w:ind w:left="100"/>
              <w:rPr>
                <w:color w:val="auto"/>
                <w:sz w:val="20"/>
                <w:szCs w:val="20"/>
              </w:rPr>
            </w:pPr>
            <w:r>
              <w:rPr>
                <w:rFonts w:ascii="宋体" w:hAnsi="宋体" w:eastAsia="宋体" w:cs="宋体"/>
                <w:color w:val="333333"/>
                <w:w w:val="98"/>
                <w:sz w:val="24"/>
                <w:szCs w:val="24"/>
              </w:rPr>
              <w:t>监管的参考。</w:t>
            </w:r>
          </w:p>
        </w:tc>
        <w:tc>
          <w:tcPr>
            <w:tcW w:w="9080" w:type="dxa"/>
            <w:tcBorders>
              <w:right w:val="single" w:color="auto" w:sz="8" w:space="0"/>
            </w:tcBorders>
            <w:vAlign w:val="bottom"/>
          </w:tcPr>
          <w:p>
            <w:pPr>
              <w:spacing w:after="0"/>
              <w:rPr>
                <w:color w:val="auto"/>
                <w:sz w:val="24"/>
                <w:szCs w:val="24"/>
              </w:rPr>
            </w:pP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40" w:hRule="atLeast"/>
        </w:trPr>
        <w:tc>
          <w:tcPr>
            <w:tcW w:w="180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10620" w:type="dxa"/>
            <w:gridSpan w:val="2"/>
            <w:tcBorders>
              <w:bottom w:val="single" w:color="auto" w:sz="8" w:space="0"/>
              <w:right w:val="single" w:color="auto" w:sz="8" w:space="0"/>
            </w:tcBorders>
            <w:vAlign w:val="bottom"/>
          </w:tcPr>
          <w:p>
            <w:pPr>
              <w:spacing w:after="0"/>
              <w:rPr>
                <w:color w:val="auto"/>
                <w:sz w:val="3"/>
                <w:szCs w:val="3"/>
              </w:rPr>
            </w:pPr>
          </w:p>
        </w:tc>
        <w:tc>
          <w:tcPr>
            <w:tcW w:w="1420" w:type="dxa"/>
            <w:tcBorders>
              <w:bottom w:val="single" w:color="auto" w:sz="8" w:space="0"/>
              <w:right w:val="single" w:color="auto" w:sz="8" w:space="0"/>
            </w:tcBorders>
            <w:vAlign w:val="bottom"/>
          </w:tcPr>
          <w:p>
            <w:pPr>
              <w:spacing w:after="0"/>
              <w:rPr>
                <w:color w:val="auto"/>
                <w:sz w:val="3"/>
                <w:szCs w:val="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14"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gridSpan w:val="2"/>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333333"/>
                <w:sz w:val="24"/>
                <w:szCs w:val="24"/>
              </w:rPr>
              <w:t>1</w:t>
            </w:r>
            <w:r>
              <w:rPr>
                <w:rFonts w:ascii="宋体" w:hAnsi="宋体" w:eastAsia="宋体" w:cs="宋体"/>
                <w:b/>
                <w:bCs/>
                <w:color w:val="333333"/>
                <w:sz w:val="24"/>
                <w:szCs w:val="24"/>
              </w:rPr>
              <w:t>、《交通运输部 公安部 商务部关于加强城市配送运输与车辆通行管理工作的通知》</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36"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gridSpan w:val="2"/>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333333"/>
                <w:sz w:val="24"/>
                <w:szCs w:val="24"/>
              </w:rPr>
              <w:t>五、优化城市配送车辆通行管理措施</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0" w:hRule="atLeast"/>
        </w:trPr>
        <w:tc>
          <w:tcPr>
            <w:tcW w:w="1800" w:type="dxa"/>
            <w:vMerge w:val="restart"/>
            <w:tcBorders>
              <w:left w:val="single" w:color="auto" w:sz="8" w:space="0"/>
              <w:right w:val="single" w:color="auto" w:sz="8" w:space="0"/>
            </w:tcBorders>
            <w:vAlign w:val="bottom"/>
          </w:tcPr>
          <w:p>
            <w:pPr>
              <w:spacing w:after="0" w:line="292" w:lineRule="exact"/>
              <w:ind w:left="120"/>
              <w:rPr>
                <w:color w:val="auto"/>
                <w:sz w:val="20"/>
                <w:szCs w:val="20"/>
              </w:rPr>
            </w:pPr>
            <w:r>
              <w:rPr>
                <w:rFonts w:ascii="Times New Roman" w:hAnsi="Times New Roman" w:eastAsia="Times New Roman" w:cs="Times New Roman"/>
                <w:color w:val="333333"/>
                <w:sz w:val="24"/>
                <w:szCs w:val="24"/>
              </w:rPr>
              <w:t>3</w:t>
            </w:r>
            <w:r>
              <w:rPr>
                <w:rFonts w:ascii="宋体" w:hAnsi="宋体" w:eastAsia="宋体" w:cs="宋体"/>
                <w:color w:val="333333"/>
                <w:sz w:val="24"/>
                <w:szCs w:val="24"/>
              </w:rPr>
              <w:t>、对失信主体</w:t>
            </w:r>
          </w:p>
        </w:tc>
        <w:tc>
          <w:tcPr>
            <w:tcW w:w="10620" w:type="dxa"/>
            <w:gridSpan w:val="2"/>
            <w:tcBorders>
              <w:right w:val="single" w:color="auto" w:sz="8" w:space="0"/>
            </w:tcBorders>
            <w:vAlign w:val="bottom"/>
          </w:tcPr>
          <w:p>
            <w:pPr>
              <w:spacing w:after="0" w:line="291" w:lineRule="exact"/>
              <w:jc w:val="right"/>
              <w:rPr>
                <w:color w:val="auto"/>
                <w:sz w:val="20"/>
                <w:szCs w:val="20"/>
              </w:rPr>
            </w:pPr>
            <w:r>
              <w:rPr>
                <w:rFonts w:ascii="Arial" w:hAnsi="Arial" w:eastAsia="Arial" w:cs="Arial"/>
                <w:color w:val="333333"/>
                <w:sz w:val="24"/>
                <w:szCs w:val="24"/>
              </w:rPr>
              <w:t>…</w:t>
            </w:r>
            <w:r>
              <w:rPr>
                <w:rFonts w:ascii="宋体" w:hAnsi="宋体" w:eastAsia="宋体" w:cs="宋体"/>
                <w:color w:val="333333"/>
                <w:sz w:val="24"/>
                <w:szCs w:val="24"/>
              </w:rPr>
              <w:t>对于配送车辆在行驶时间和区域方面采取限制和禁止通行措施的城市，城市公安机关交通管</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89" w:hRule="atLeast"/>
        </w:trPr>
        <w:tc>
          <w:tcPr>
            <w:tcW w:w="1800" w:type="dxa"/>
            <w:vMerge w:val="continue"/>
            <w:tcBorders>
              <w:left w:val="single" w:color="auto" w:sz="8" w:space="0"/>
              <w:right w:val="single" w:color="auto" w:sz="8" w:space="0"/>
            </w:tcBorders>
            <w:vAlign w:val="bottom"/>
          </w:tcPr>
          <w:p>
            <w:pPr>
              <w:spacing w:after="0"/>
              <w:rPr>
                <w:color w:val="auto"/>
                <w:sz w:val="16"/>
                <w:szCs w:val="16"/>
              </w:rPr>
            </w:pPr>
          </w:p>
        </w:tc>
        <w:tc>
          <w:tcPr>
            <w:tcW w:w="10620" w:type="dxa"/>
            <w:gridSpan w:val="2"/>
            <w:vMerge w:val="restart"/>
            <w:tcBorders>
              <w:right w:val="single" w:color="auto" w:sz="8" w:space="0"/>
            </w:tcBorders>
            <w:vAlign w:val="bottom"/>
          </w:tcPr>
          <w:p>
            <w:pPr>
              <w:spacing w:after="0" w:line="274" w:lineRule="exact"/>
              <w:jc w:val="right"/>
              <w:rPr>
                <w:color w:val="auto"/>
                <w:sz w:val="20"/>
                <w:szCs w:val="20"/>
              </w:rPr>
            </w:pPr>
            <w:r>
              <w:rPr>
                <w:rFonts w:ascii="宋体" w:hAnsi="宋体" w:eastAsia="宋体" w:cs="宋体"/>
                <w:color w:val="333333"/>
                <w:sz w:val="24"/>
                <w:szCs w:val="24"/>
              </w:rPr>
              <w:t>理部门应当会同交通运输主管部门，按照保证需求、便利通行、分类管理、适度调控的原则，结合</w:t>
            </w:r>
          </w:p>
        </w:tc>
        <w:tc>
          <w:tcPr>
            <w:tcW w:w="1420" w:type="dxa"/>
            <w:tcBorders>
              <w:right w:val="single" w:color="auto" w:sz="8" w:space="0"/>
            </w:tcBorders>
            <w:vAlign w:val="bottom"/>
          </w:tcPr>
          <w:p>
            <w:pPr>
              <w:spacing w:after="0"/>
              <w:rPr>
                <w:color w:val="auto"/>
                <w:sz w:val="16"/>
                <w:szCs w:val="16"/>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61" w:hRule="atLeast"/>
        </w:trPr>
        <w:tc>
          <w:tcPr>
            <w:tcW w:w="1800" w:type="dxa"/>
            <w:vMerge w:val="restart"/>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申请城市货运</w:t>
            </w:r>
          </w:p>
        </w:tc>
        <w:tc>
          <w:tcPr>
            <w:tcW w:w="10620" w:type="dxa"/>
            <w:gridSpan w:val="2"/>
            <w:vMerge w:val="continue"/>
            <w:tcBorders>
              <w:right w:val="single" w:color="auto" w:sz="8" w:space="0"/>
            </w:tcBorders>
            <w:vAlign w:val="bottom"/>
          </w:tcPr>
          <w:p>
            <w:pPr>
              <w:spacing w:after="0"/>
              <w:rPr>
                <w:color w:val="auto"/>
                <w:sz w:val="14"/>
                <w:szCs w:val="14"/>
              </w:rPr>
            </w:pPr>
          </w:p>
        </w:tc>
        <w:tc>
          <w:tcPr>
            <w:tcW w:w="1420" w:type="dxa"/>
            <w:vMerge w:val="restart"/>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地方公安机</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5" w:hRule="atLeast"/>
        </w:trPr>
        <w:tc>
          <w:tcPr>
            <w:tcW w:w="1800" w:type="dxa"/>
            <w:vMerge w:val="continue"/>
            <w:tcBorders>
              <w:left w:val="single" w:color="auto" w:sz="8" w:space="0"/>
              <w:right w:val="single" w:color="auto" w:sz="8" w:space="0"/>
            </w:tcBorders>
            <w:vAlign w:val="bottom"/>
          </w:tcPr>
          <w:p>
            <w:pPr>
              <w:spacing w:after="0"/>
              <w:rPr>
                <w:color w:val="auto"/>
                <w:sz w:val="15"/>
                <w:szCs w:val="15"/>
              </w:rPr>
            </w:pPr>
          </w:p>
        </w:tc>
        <w:tc>
          <w:tcPr>
            <w:tcW w:w="10620" w:type="dxa"/>
            <w:gridSpan w:val="2"/>
            <w:vMerge w:val="restart"/>
            <w:tcBorders>
              <w:right w:val="single" w:color="auto" w:sz="8" w:space="0"/>
            </w:tcBorders>
            <w:vAlign w:val="bottom"/>
          </w:tcPr>
          <w:p>
            <w:pPr>
              <w:spacing w:after="0" w:line="274" w:lineRule="exact"/>
              <w:jc w:val="right"/>
              <w:rPr>
                <w:color w:val="auto"/>
                <w:sz w:val="20"/>
                <w:szCs w:val="20"/>
              </w:rPr>
            </w:pPr>
            <w:r>
              <w:rPr>
                <w:rFonts w:ascii="宋体" w:hAnsi="宋体" w:eastAsia="宋体" w:cs="宋体"/>
                <w:color w:val="333333"/>
                <w:sz w:val="24"/>
                <w:szCs w:val="24"/>
              </w:rPr>
              <w:t>城市配送运力调控计划，加快建立公开、公平、公正、择优的配送车辆通行调控机制，制定出台保</w:t>
            </w:r>
          </w:p>
        </w:tc>
        <w:tc>
          <w:tcPr>
            <w:tcW w:w="1420" w:type="dxa"/>
            <w:vMerge w:val="continue"/>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5" w:hRule="atLeast"/>
        </w:trPr>
        <w:tc>
          <w:tcPr>
            <w:tcW w:w="1800" w:type="dxa"/>
            <w:vMerge w:val="restart"/>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车辆通行证予</w:t>
            </w:r>
          </w:p>
        </w:tc>
        <w:tc>
          <w:tcPr>
            <w:tcW w:w="10620" w:type="dxa"/>
            <w:gridSpan w:val="2"/>
            <w:vMerge w:val="continue"/>
            <w:tcBorders>
              <w:right w:val="single" w:color="auto" w:sz="8" w:space="0"/>
            </w:tcBorders>
            <w:vAlign w:val="bottom"/>
          </w:tcPr>
          <w:p>
            <w:pPr>
              <w:spacing w:after="0"/>
              <w:rPr>
                <w:color w:val="auto"/>
                <w:sz w:val="15"/>
                <w:szCs w:val="15"/>
              </w:rPr>
            </w:pPr>
          </w:p>
        </w:tc>
        <w:tc>
          <w:tcPr>
            <w:tcW w:w="1420" w:type="dxa"/>
            <w:vMerge w:val="restart"/>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关</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5" w:hRule="atLeast"/>
        </w:trPr>
        <w:tc>
          <w:tcPr>
            <w:tcW w:w="1800" w:type="dxa"/>
            <w:vMerge w:val="continue"/>
            <w:tcBorders>
              <w:left w:val="single" w:color="auto" w:sz="8" w:space="0"/>
              <w:right w:val="single" w:color="auto" w:sz="8" w:space="0"/>
            </w:tcBorders>
            <w:vAlign w:val="bottom"/>
          </w:tcPr>
          <w:p>
            <w:pPr>
              <w:spacing w:after="0"/>
              <w:rPr>
                <w:color w:val="auto"/>
                <w:sz w:val="15"/>
                <w:szCs w:val="15"/>
              </w:rPr>
            </w:pPr>
          </w:p>
        </w:tc>
        <w:tc>
          <w:tcPr>
            <w:tcW w:w="10620" w:type="dxa"/>
            <w:gridSpan w:val="2"/>
            <w:vMerge w:val="restart"/>
            <w:tcBorders>
              <w:right w:val="single" w:color="auto" w:sz="8" w:space="0"/>
            </w:tcBorders>
            <w:vAlign w:val="bottom"/>
          </w:tcPr>
          <w:p>
            <w:pPr>
              <w:spacing w:after="0" w:line="274" w:lineRule="exact"/>
              <w:jc w:val="right"/>
              <w:rPr>
                <w:color w:val="auto"/>
                <w:sz w:val="20"/>
                <w:szCs w:val="20"/>
              </w:rPr>
            </w:pPr>
            <w:r>
              <w:rPr>
                <w:rFonts w:ascii="宋体" w:hAnsi="宋体" w:eastAsia="宋体" w:cs="宋体"/>
                <w:color w:val="333333"/>
                <w:sz w:val="24"/>
                <w:szCs w:val="24"/>
              </w:rPr>
              <w:t>障配送车辆通行便利的管理政策。在实施配送车辆通行管理中，对从事生活必需品配送的企业、从</w:t>
            </w:r>
          </w:p>
        </w:tc>
        <w:tc>
          <w:tcPr>
            <w:tcW w:w="1420" w:type="dxa"/>
            <w:vMerge w:val="continue"/>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8" w:hRule="atLeast"/>
        </w:trPr>
        <w:tc>
          <w:tcPr>
            <w:tcW w:w="1800" w:type="dxa"/>
            <w:vMerge w:val="restart"/>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以限制。</w:t>
            </w:r>
          </w:p>
        </w:tc>
        <w:tc>
          <w:tcPr>
            <w:tcW w:w="10620" w:type="dxa"/>
            <w:gridSpan w:val="2"/>
            <w:vMerge w:val="continue"/>
            <w:tcBorders>
              <w:right w:val="single" w:color="auto" w:sz="8" w:space="0"/>
            </w:tcBorders>
            <w:vAlign w:val="bottom"/>
          </w:tcPr>
          <w:p>
            <w:pPr>
              <w:spacing w:after="0"/>
              <w:rPr>
                <w:color w:val="auto"/>
                <w:sz w:val="15"/>
                <w:szCs w:val="15"/>
              </w:rPr>
            </w:pPr>
          </w:p>
        </w:tc>
        <w:tc>
          <w:tcPr>
            <w:tcW w:w="1420" w:type="dxa"/>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3" w:hRule="atLeast"/>
        </w:trPr>
        <w:tc>
          <w:tcPr>
            <w:tcW w:w="1800" w:type="dxa"/>
            <w:vMerge w:val="continue"/>
            <w:tcBorders>
              <w:left w:val="single" w:color="auto" w:sz="8" w:space="0"/>
              <w:right w:val="single" w:color="auto" w:sz="8" w:space="0"/>
            </w:tcBorders>
            <w:vAlign w:val="bottom"/>
          </w:tcPr>
          <w:p>
            <w:pPr>
              <w:spacing w:after="0"/>
              <w:rPr>
                <w:color w:val="auto"/>
                <w:sz w:val="15"/>
                <w:szCs w:val="15"/>
              </w:rPr>
            </w:pPr>
          </w:p>
        </w:tc>
        <w:tc>
          <w:tcPr>
            <w:tcW w:w="10620" w:type="dxa"/>
            <w:gridSpan w:val="2"/>
            <w:vMerge w:val="restart"/>
            <w:tcBorders>
              <w:right w:val="single" w:color="auto" w:sz="8" w:space="0"/>
            </w:tcBorders>
            <w:vAlign w:val="bottom"/>
          </w:tcPr>
          <w:p>
            <w:pPr>
              <w:spacing w:after="0" w:line="274" w:lineRule="exact"/>
              <w:jc w:val="right"/>
              <w:rPr>
                <w:color w:val="auto"/>
                <w:sz w:val="20"/>
                <w:szCs w:val="20"/>
              </w:rPr>
            </w:pPr>
            <w:r>
              <w:rPr>
                <w:rFonts w:ascii="宋体" w:hAnsi="宋体" w:eastAsia="宋体" w:cs="宋体"/>
                <w:color w:val="333333"/>
                <w:sz w:val="24"/>
                <w:szCs w:val="24"/>
              </w:rPr>
              <w:t>事鲜活农产品和冷藏保鲜产品配送的企业、使用新能源和清洁能源车辆从事配送业务的企业、开展</w:t>
            </w:r>
          </w:p>
        </w:tc>
        <w:tc>
          <w:tcPr>
            <w:tcW w:w="1420" w:type="dxa"/>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5" w:hRule="atLeast"/>
        </w:trPr>
        <w:tc>
          <w:tcPr>
            <w:tcW w:w="1800" w:type="dxa"/>
            <w:tcBorders>
              <w:left w:val="single" w:color="auto" w:sz="8" w:space="0"/>
              <w:right w:val="single" w:color="auto" w:sz="8" w:space="0"/>
            </w:tcBorders>
            <w:vAlign w:val="bottom"/>
          </w:tcPr>
          <w:p>
            <w:pPr>
              <w:spacing w:after="0"/>
              <w:rPr>
                <w:color w:val="auto"/>
                <w:sz w:val="15"/>
                <w:szCs w:val="15"/>
              </w:rPr>
            </w:pPr>
          </w:p>
        </w:tc>
        <w:tc>
          <w:tcPr>
            <w:tcW w:w="10620" w:type="dxa"/>
            <w:gridSpan w:val="2"/>
            <w:vMerge w:val="continue"/>
            <w:tcBorders>
              <w:right w:val="single" w:color="auto" w:sz="8" w:space="0"/>
            </w:tcBorders>
            <w:vAlign w:val="bottom"/>
          </w:tcPr>
          <w:p>
            <w:pPr>
              <w:spacing w:after="0"/>
              <w:rPr>
                <w:color w:val="auto"/>
                <w:sz w:val="15"/>
                <w:szCs w:val="15"/>
              </w:rPr>
            </w:pPr>
          </w:p>
        </w:tc>
        <w:tc>
          <w:tcPr>
            <w:tcW w:w="1420" w:type="dxa"/>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67"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gridSpan w:val="2"/>
            <w:tcBorders>
              <w:right w:val="single" w:color="auto" w:sz="8" w:space="0"/>
            </w:tcBorders>
            <w:vAlign w:val="bottom"/>
          </w:tcPr>
          <w:p>
            <w:pPr>
              <w:spacing w:after="0" w:line="292" w:lineRule="exact"/>
              <w:jc w:val="right"/>
              <w:rPr>
                <w:color w:val="auto"/>
                <w:sz w:val="20"/>
                <w:szCs w:val="20"/>
              </w:rPr>
            </w:pPr>
            <w:r>
              <w:rPr>
                <w:rFonts w:ascii="宋体" w:hAnsi="宋体" w:eastAsia="宋体" w:cs="宋体"/>
                <w:color w:val="333333"/>
                <w:w w:val="99"/>
                <w:sz w:val="24"/>
                <w:szCs w:val="24"/>
              </w:rPr>
              <w:t>共同（集中）配送的企业、服务质量信誉考核为</w:t>
            </w:r>
            <w:r>
              <w:rPr>
                <w:rFonts w:ascii="Times New Roman" w:hAnsi="Times New Roman" w:eastAsia="Times New Roman" w:cs="Times New Roman"/>
                <w:color w:val="333333"/>
                <w:w w:val="99"/>
                <w:sz w:val="24"/>
                <w:szCs w:val="24"/>
              </w:rPr>
              <w:t xml:space="preserve"> AAA </w:t>
            </w:r>
            <w:r>
              <w:rPr>
                <w:rFonts w:ascii="宋体" w:hAnsi="宋体" w:eastAsia="宋体" w:cs="宋体"/>
                <w:color w:val="333333"/>
                <w:w w:val="99"/>
                <w:sz w:val="24"/>
                <w:szCs w:val="24"/>
              </w:rPr>
              <w:t>级的企业以及规模较大的网络型零担运输和快</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36"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gridSpan w:val="2"/>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递企业、自有大型配送中心的运输企业，可优先考虑给予其通行便利。</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41" w:hRule="atLeast"/>
        </w:trPr>
        <w:tc>
          <w:tcPr>
            <w:tcW w:w="180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10620" w:type="dxa"/>
            <w:gridSpan w:val="2"/>
            <w:tcBorders>
              <w:bottom w:val="single" w:color="auto" w:sz="8" w:space="0"/>
              <w:right w:val="single" w:color="auto" w:sz="8" w:space="0"/>
            </w:tcBorders>
            <w:vAlign w:val="bottom"/>
          </w:tcPr>
          <w:p>
            <w:pPr>
              <w:spacing w:after="0"/>
              <w:rPr>
                <w:color w:val="auto"/>
                <w:sz w:val="3"/>
                <w:szCs w:val="3"/>
              </w:rPr>
            </w:pPr>
          </w:p>
        </w:tc>
        <w:tc>
          <w:tcPr>
            <w:tcW w:w="1420" w:type="dxa"/>
            <w:tcBorders>
              <w:bottom w:val="single" w:color="auto" w:sz="8" w:space="0"/>
              <w:right w:val="single" w:color="auto" w:sz="8" w:space="0"/>
            </w:tcBorders>
            <w:vAlign w:val="bottom"/>
          </w:tcPr>
          <w:p>
            <w:pPr>
              <w:spacing w:after="0"/>
              <w:rPr>
                <w:color w:val="auto"/>
                <w:sz w:val="3"/>
                <w:szCs w:val="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13" w:hRule="atLeast"/>
        </w:trPr>
        <w:tc>
          <w:tcPr>
            <w:tcW w:w="1800" w:type="dxa"/>
            <w:vMerge w:val="restart"/>
            <w:tcBorders>
              <w:left w:val="single" w:color="auto" w:sz="8" w:space="0"/>
              <w:right w:val="single" w:color="auto" w:sz="8" w:space="0"/>
            </w:tcBorders>
            <w:vAlign w:val="bottom"/>
          </w:tcPr>
          <w:p>
            <w:pPr>
              <w:spacing w:after="0" w:line="292" w:lineRule="exact"/>
              <w:ind w:left="120"/>
              <w:rPr>
                <w:color w:val="auto"/>
                <w:sz w:val="20"/>
                <w:szCs w:val="20"/>
              </w:rPr>
            </w:pPr>
            <w:r>
              <w:rPr>
                <w:rFonts w:ascii="Times New Roman" w:hAnsi="Times New Roman" w:eastAsia="Times New Roman" w:cs="Times New Roman"/>
                <w:color w:val="333333"/>
                <w:sz w:val="24"/>
                <w:szCs w:val="24"/>
              </w:rPr>
              <w:t>4</w:t>
            </w:r>
            <w:r>
              <w:rPr>
                <w:rFonts w:ascii="宋体" w:hAnsi="宋体" w:eastAsia="宋体" w:cs="宋体"/>
                <w:color w:val="333333"/>
                <w:sz w:val="24"/>
                <w:szCs w:val="24"/>
              </w:rPr>
              <w:t>、对失信主体</w:t>
            </w:r>
          </w:p>
        </w:tc>
        <w:tc>
          <w:tcPr>
            <w:tcW w:w="10620" w:type="dxa"/>
            <w:gridSpan w:val="2"/>
            <w:tcBorders>
              <w:right w:val="single" w:color="auto" w:sz="8" w:space="0"/>
            </w:tcBorders>
            <w:vAlign w:val="bottom"/>
          </w:tcPr>
          <w:p>
            <w:pPr>
              <w:spacing w:after="0" w:line="292" w:lineRule="exact"/>
              <w:ind w:right="2820"/>
              <w:jc w:val="right"/>
              <w:rPr>
                <w:color w:val="auto"/>
                <w:sz w:val="20"/>
                <w:szCs w:val="20"/>
              </w:rPr>
            </w:pPr>
            <w:r>
              <w:rPr>
                <w:rFonts w:ascii="Times New Roman" w:hAnsi="Times New Roman" w:eastAsia="Times New Roman" w:cs="Times New Roman"/>
                <w:b/>
                <w:bCs/>
                <w:color w:val="333333"/>
                <w:sz w:val="24"/>
                <w:szCs w:val="24"/>
              </w:rPr>
              <w:t>1</w:t>
            </w:r>
            <w:r>
              <w:rPr>
                <w:rFonts w:ascii="宋体" w:hAnsi="宋体" w:eastAsia="宋体" w:cs="宋体"/>
                <w:b/>
                <w:bCs/>
                <w:color w:val="333333"/>
                <w:sz w:val="24"/>
                <w:szCs w:val="24"/>
              </w:rPr>
              <w:t>、《国务院关于促进市场公平竞争维护市场正常秩序的若干意见》</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3" w:hRule="atLeast"/>
        </w:trPr>
        <w:tc>
          <w:tcPr>
            <w:tcW w:w="1800" w:type="dxa"/>
            <w:vMerge w:val="continue"/>
            <w:tcBorders>
              <w:left w:val="single" w:color="auto" w:sz="8" w:space="0"/>
              <w:right w:val="single" w:color="auto" w:sz="8" w:space="0"/>
            </w:tcBorders>
            <w:vAlign w:val="bottom"/>
          </w:tcPr>
          <w:p>
            <w:pPr>
              <w:spacing w:after="0"/>
              <w:rPr>
                <w:color w:val="auto"/>
                <w:sz w:val="15"/>
                <w:szCs w:val="15"/>
              </w:rPr>
            </w:pPr>
          </w:p>
        </w:tc>
        <w:tc>
          <w:tcPr>
            <w:tcW w:w="10620" w:type="dxa"/>
            <w:gridSpan w:val="2"/>
            <w:vMerge w:val="restart"/>
            <w:tcBorders>
              <w:right w:val="single" w:color="auto" w:sz="8" w:space="0"/>
            </w:tcBorders>
            <w:vAlign w:val="bottom"/>
          </w:tcPr>
          <w:p>
            <w:pPr>
              <w:spacing w:after="0" w:line="291" w:lineRule="exact"/>
              <w:jc w:val="right"/>
              <w:rPr>
                <w:color w:val="auto"/>
                <w:sz w:val="20"/>
                <w:szCs w:val="20"/>
              </w:rPr>
            </w:pPr>
            <w:r>
              <w:rPr>
                <w:rFonts w:ascii="宋体" w:hAnsi="宋体" w:eastAsia="宋体" w:cs="宋体"/>
                <w:color w:val="333333"/>
                <w:sz w:val="24"/>
                <w:szCs w:val="24"/>
              </w:rPr>
              <w:t>（十五）建立健全守信激励和失信惩戒机制。</w:t>
            </w:r>
            <w:r>
              <w:rPr>
                <w:rFonts w:ascii="Arial" w:hAnsi="Arial" w:eastAsia="Arial" w:cs="Arial"/>
                <w:color w:val="333333"/>
                <w:sz w:val="24"/>
                <w:szCs w:val="24"/>
              </w:rPr>
              <w:t>…</w:t>
            </w:r>
            <w:r>
              <w:rPr>
                <w:rFonts w:ascii="宋体" w:hAnsi="宋体" w:eastAsia="宋体" w:cs="宋体"/>
                <w:color w:val="333333"/>
                <w:sz w:val="24"/>
                <w:szCs w:val="24"/>
              </w:rPr>
              <w:t>对守信主体予以支持和激励，对失信主体在经</w:t>
            </w:r>
          </w:p>
        </w:tc>
        <w:tc>
          <w:tcPr>
            <w:tcW w:w="1420" w:type="dxa"/>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64" w:hRule="atLeast"/>
        </w:trPr>
        <w:tc>
          <w:tcPr>
            <w:tcW w:w="1800" w:type="dxa"/>
            <w:vMerge w:val="restart"/>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作为供应商参</w:t>
            </w:r>
          </w:p>
        </w:tc>
        <w:tc>
          <w:tcPr>
            <w:tcW w:w="10620" w:type="dxa"/>
            <w:gridSpan w:val="2"/>
            <w:vMerge w:val="continue"/>
            <w:tcBorders>
              <w:right w:val="single" w:color="auto" w:sz="8" w:space="0"/>
            </w:tcBorders>
            <w:vAlign w:val="bottom"/>
          </w:tcPr>
          <w:p>
            <w:pPr>
              <w:spacing w:after="0"/>
              <w:rPr>
                <w:color w:val="auto"/>
                <w:sz w:val="14"/>
                <w:szCs w:val="14"/>
              </w:rPr>
            </w:pPr>
          </w:p>
        </w:tc>
        <w:tc>
          <w:tcPr>
            <w:tcW w:w="1420" w:type="dxa"/>
            <w:tcBorders>
              <w:right w:val="single" w:color="auto" w:sz="8" w:space="0"/>
            </w:tcBorders>
            <w:vAlign w:val="bottom"/>
          </w:tcPr>
          <w:p>
            <w:pPr>
              <w:spacing w:after="0"/>
              <w:rPr>
                <w:color w:val="auto"/>
                <w:sz w:val="14"/>
                <w:szCs w:val="1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3" w:hRule="atLeast"/>
        </w:trPr>
        <w:tc>
          <w:tcPr>
            <w:tcW w:w="1800" w:type="dxa"/>
            <w:vMerge w:val="continue"/>
            <w:tcBorders>
              <w:left w:val="single" w:color="auto" w:sz="8" w:space="0"/>
              <w:right w:val="single" w:color="auto" w:sz="8" w:space="0"/>
            </w:tcBorders>
            <w:vAlign w:val="bottom"/>
          </w:tcPr>
          <w:p>
            <w:pPr>
              <w:spacing w:after="0"/>
              <w:rPr>
                <w:color w:val="auto"/>
                <w:sz w:val="15"/>
                <w:szCs w:val="15"/>
              </w:rPr>
            </w:pPr>
          </w:p>
        </w:tc>
        <w:tc>
          <w:tcPr>
            <w:tcW w:w="10620" w:type="dxa"/>
            <w:gridSpan w:val="2"/>
            <w:vMerge w:val="restart"/>
            <w:tcBorders>
              <w:right w:val="single" w:color="auto" w:sz="8" w:space="0"/>
            </w:tcBorders>
            <w:vAlign w:val="bottom"/>
          </w:tcPr>
          <w:p>
            <w:pPr>
              <w:spacing w:after="0" w:line="274" w:lineRule="exact"/>
              <w:jc w:val="right"/>
              <w:rPr>
                <w:color w:val="auto"/>
                <w:sz w:val="20"/>
                <w:szCs w:val="20"/>
              </w:rPr>
            </w:pPr>
            <w:r>
              <w:rPr>
                <w:rFonts w:ascii="宋体" w:hAnsi="宋体" w:eastAsia="宋体" w:cs="宋体"/>
                <w:color w:val="333333"/>
                <w:sz w:val="24"/>
                <w:szCs w:val="24"/>
              </w:rPr>
              <w:t>营、投融资、取得政府供应土地、进出口、出入境、注册新公司、工程招投标、政府采购、获得荣</w:t>
            </w:r>
          </w:p>
        </w:tc>
        <w:tc>
          <w:tcPr>
            <w:tcW w:w="1420" w:type="dxa"/>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8" w:hRule="atLeast"/>
        </w:trPr>
        <w:tc>
          <w:tcPr>
            <w:tcW w:w="1800" w:type="dxa"/>
            <w:vMerge w:val="restart"/>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加政府采购活</w:t>
            </w:r>
          </w:p>
        </w:tc>
        <w:tc>
          <w:tcPr>
            <w:tcW w:w="10620" w:type="dxa"/>
            <w:gridSpan w:val="2"/>
            <w:vMerge w:val="continue"/>
            <w:tcBorders>
              <w:right w:val="single" w:color="auto" w:sz="8" w:space="0"/>
            </w:tcBorders>
            <w:vAlign w:val="bottom"/>
          </w:tcPr>
          <w:p>
            <w:pPr>
              <w:spacing w:after="0"/>
              <w:rPr>
                <w:color w:val="auto"/>
                <w:sz w:val="15"/>
                <w:szCs w:val="15"/>
              </w:rPr>
            </w:pPr>
          </w:p>
        </w:tc>
        <w:tc>
          <w:tcPr>
            <w:tcW w:w="1420" w:type="dxa"/>
            <w:vMerge w:val="restart"/>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财政部</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5" w:hRule="atLeast"/>
        </w:trPr>
        <w:tc>
          <w:tcPr>
            <w:tcW w:w="1800" w:type="dxa"/>
            <w:vMerge w:val="continue"/>
            <w:tcBorders>
              <w:left w:val="single" w:color="auto" w:sz="8" w:space="0"/>
              <w:right w:val="single" w:color="auto" w:sz="8" w:space="0"/>
            </w:tcBorders>
            <w:vAlign w:val="bottom"/>
          </w:tcPr>
          <w:p>
            <w:pPr>
              <w:spacing w:after="0"/>
              <w:rPr>
                <w:color w:val="auto"/>
                <w:sz w:val="15"/>
                <w:szCs w:val="15"/>
              </w:rPr>
            </w:pPr>
          </w:p>
        </w:tc>
        <w:tc>
          <w:tcPr>
            <w:tcW w:w="10620" w:type="dxa"/>
            <w:gridSpan w:val="2"/>
            <w:vMerge w:val="restart"/>
            <w:tcBorders>
              <w:right w:val="single" w:color="auto" w:sz="8" w:space="0"/>
            </w:tcBorders>
            <w:vAlign w:val="bottom"/>
          </w:tcPr>
          <w:p>
            <w:pPr>
              <w:spacing w:after="0" w:line="274" w:lineRule="exact"/>
              <w:jc w:val="right"/>
              <w:rPr>
                <w:color w:val="auto"/>
                <w:sz w:val="20"/>
                <w:szCs w:val="20"/>
              </w:rPr>
            </w:pPr>
            <w:r>
              <w:rPr>
                <w:rFonts w:ascii="宋体" w:hAnsi="宋体" w:eastAsia="宋体" w:cs="宋体"/>
                <w:color w:val="333333"/>
                <w:sz w:val="24"/>
                <w:szCs w:val="24"/>
              </w:rPr>
              <w:t>誉、安全许可、生产许可、从业任职资格、资质审核等方面依法予以限制或禁止，对严重违法失信</w:t>
            </w:r>
          </w:p>
        </w:tc>
        <w:tc>
          <w:tcPr>
            <w:tcW w:w="1420" w:type="dxa"/>
            <w:vMerge w:val="continue"/>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5" w:hRule="atLeast"/>
        </w:trPr>
        <w:tc>
          <w:tcPr>
            <w:tcW w:w="1800" w:type="dxa"/>
            <w:vMerge w:val="restart"/>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动依法予以限</w:t>
            </w:r>
          </w:p>
        </w:tc>
        <w:tc>
          <w:tcPr>
            <w:tcW w:w="10620" w:type="dxa"/>
            <w:gridSpan w:val="2"/>
            <w:vMerge w:val="continue"/>
            <w:tcBorders>
              <w:right w:val="single" w:color="auto" w:sz="8" w:space="0"/>
            </w:tcBorders>
            <w:vAlign w:val="bottom"/>
          </w:tcPr>
          <w:p>
            <w:pPr>
              <w:spacing w:after="0"/>
              <w:rPr>
                <w:color w:val="auto"/>
                <w:sz w:val="15"/>
                <w:szCs w:val="15"/>
              </w:rPr>
            </w:pPr>
          </w:p>
        </w:tc>
        <w:tc>
          <w:tcPr>
            <w:tcW w:w="1420" w:type="dxa"/>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3" w:hRule="atLeast"/>
        </w:trPr>
        <w:tc>
          <w:tcPr>
            <w:tcW w:w="1800" w:type="dxa"/>
            <w:vMerge w:val="continue"/>
            <w:tcBorders>
              <w:left w:val="single" w:color="auto" w:sz="8" w:space="0"/>
              <w:right w:val="single" w:color="auto" w:sz="8" w:space="0"/>
            </w:tcBorders>
            <w:vAlign w:val="bottom"/>
          </w:tcPr>
          <w:p>
            <w:pPr>
              <w:spacing w:after="0"/>
              <w:rPr>
                <w:color w:val="auto"/>
                <w:sz w:val="15"/>
                <w:szCs w:val="15"/>
              </w:rPr>
            </w:pPr>
          </w:p>
        </w:tc>
        <w:tc>
          <w:tcPr>
            <w:tcW w:w="10620" w:type="dxa"/>
            <w:gridSpan w:val="2"/>
            <w:vMerge w:val="restart"/>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主体实行市场禁入制度。</w:t>
            </w:r>
          </w:p>
        </w:tc>
        <w:tc>
          <w:tcPr>
            <w:tcW w:w="1420" w:type="dxa"/>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8" w:hRule="atLeast"/>
        </w:trPr>
        <w:tc>
          <w:tcPr>
            <w:tcW w:w="1800" w:type="dxa"/>
            <w:vMerge w:val="restart"/>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制。</w:t>
            </w:r>
          </w:p>
        </w:tc>
        <w:tc>
          <w:tcPr>
            <w:tcW w:w="10620" w:type="dxa"/>
            <w:gridSpan w:val="2"/>
            <w:vMerge w:val="continue"/>
            <w:tcBorders>
              <w:right w:val="single" w:color="auto" w:sz="8" w:space="0"/>
            </w:tcBorders>
            <w:vAlign w:val="bottom"/>
          </w:tcPr>
          <w:p>
            <w:pPr>
              <w:spacing w:after="0"/>
              <w:rPr>
                <w:color w:val="auto"/>
                <w:sz w:val="15"/>
                <w:szCs w:val="15"/>
              </w:rPr>
            </w:pPr>
          </w:p>
        </w:tc>
        <w:tc>
          <w:tcPr>
            <w:tcW w:w="1420" w:type="dxa"/>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5" w:hRule="atLeast"/>
        </w:trPr>
        <w:tc>
          <w:tcPr>
            <w:tcW w:w="1800" w:type="dxa"/>
            <w:vMerge w:val="continue"/>
            <w:tcBorders>
              <w:left w:val="single" w:color="auto" w:sz="8" w:space="0"/>
              <w:right w:val="single" w:color="auto" w:sz="8" w:space="0"/>
            </w:tcBorders>
            <w:vAlign w:val="bottom"/>
          </w:tcPr>
          <w:p>
            <w:pPr>
              <w:spacing w:after="0"/>
              <w:rPr>
                <w:color w:val="auto"/>
                <w:sz w:val="15"/>
                <w:szCs w:val="15"/>
              </w:rPr>
            </w:pPr>
          </w:p>
        </w:tc>
        <w:tc>
          <w:tcPr>
            <w:tcW w:w="10620" w:type="dxa"/>
            <w:gridSpan w:val="2"/>
            <w:vMerge w:val="restart"/>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333333"/>
                <w:sz w:val="24"/>
                <w:szCs w:val="24"/>
              </w:rPr>
              <w:t>2</w:t>
            </w:r>
            <w:r>
              <w:rPr>
                <w:rFonts w:ascii="宋体" w:hAnsi="宋体" w:eastAsia="宋体" w:cs="宋体"/>
                <w:b/>
                <w:bCs/>
                <w:color w:val="333333"/>
                <w:sz w:val="24"/>
                <w:szCs w:val="24"/>
              </w:rPr>
              <w:t>、《国务院办公厅关于运用大数据加强对市场主体服务和监管的若干意见》</w:t>
            </w:r>
          </w:p>
        </w:tc>
        <w:tc>
          <w:tcPr>
            <w:tcW w:w="1420" w:type="dxa"/>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89" w:hRule="atLeast"/>
        </w:trPr>
        <w:tc>
          <w:tcPr>
            <w:tcW w:w="1800" w:type="dxa"/>
            <w:tcBorders>
              <w:left w:val="single" w:color="auto" w:sz="8" w:space="0"/>
              <w:right w:val="single" w:color="auto" w:sz="8" w:space="0"/>
            </w:tcBorders>
            <w:vAlign w:val="bottom"/>
          </w:tcPr>
          <w:p>
            <w:pPr>
              <w:spacing w:after="0"/>
              <w:rPr>
                <w:color w:val="auto"/>
                <w:sz w:val="16"/>
                <w:szCs w:val="16"/>
              </w:rPr>
            </w:pPr>
          </w:p>
        </w:tc>
        <w:tc>
          <w:tcPr>
            <w:tcW w:w="10620" w:type="dxa"/>
            <w:gridSpan w:val="2"/>
            <w:vMerge w:val="continue"/>
            <w:tcBorders>
              <w:right w:val="single" w:color="auto" w:sz="8" w:space="0"/>
            </w:tcBorders>
            <w:vAlign w:val="bottom"/>
          </w:tcPr>
          <w:p>
            <w:pPr>
              <w:spacing w:after="0"/>
              <w:rPr>
                <w:color w:val="auto"/>
                <w:sz w:val="16"/>
                <w:szCs w:val="16"/>
              </w:rPr>
            </w:pPr>
          </w:p>
        </w:tc>
        <w:tc>
          <w:tcPr>
            <w:tcW w:w="1420" w:type="dxa"/>
            <w:tcBorders>
              <w:right w:val="single" w:color="auto" w:sz="8" w:space="0"/>
            </w:tcBorders>
            <w:vAlign w:val="bottom"/>
          </w:tcPr>
          <w:p>
            <w:pPr>
              <w:spacing w:after="0"/>
              <w:rPr>
                <w:color w:val="auto"/>
                <w:sz w:val="16"/>
                <w:szCs w:val="16"/>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6" w:hRule="atLeast"/>
        </w:trPr>
        <w:tc>
          <w:tcPr>
            <w:tcW w:w="1800" w:type="dxa"/>
            <w:tcBorders>
              <w:left w:val="single" w:color="auto" w:sz="8" w:space="0"/>
              <w:bottom w:val="single" w:color="auto" w:sz="8" w:space="0"/>
              <w:right w:val="single" w:color="auto" w:sz="8" w:space="0"/>
            </w:tcBorders>
            <w:vAlign w:val="bottom"/>
          </w:tcPr>
          <w:p>
            <w:pPr>
              <w:spacing w:after="0"/>
              <w:rPr>
                <w:color w:val="auto"/>
                <w:sz w:val="2"/>
                <w:szCs w:val="2"/>
              </w:rPr>
            </w:pPr>
          </w:p>
        </w:tc>
        <w:tc>
          <w:tcPr>
            <w:tcW w:w="1540" w:type="dxa"/>
            <w:tcBorders>
              <w:bottom w:val="single" w:color="auto" w:sz="8" w:space="0"/>
            </w:tcBorders>
            <w:vAlign w:val="bottom"/>
          </w:tcPr>
          <w:p>
            <w:pPr>
              <w:spacing w:after="0"/>
              <w:rPr>
                <w:color w:val="auto"/>
                <w:sz w:val="2"/>
                <w:szCs w:val="2"/>
              </w:rPr>
            </w:pPr>
          </w:p>
        </w:tc>
        <w:tc>
          <w:tcPr>
            <w:tcW w:w="9080" w:type="dxa"/>
            <w:tcBorders>
              <w:bottom w:val="single" w:color="auto" w:sz="8" w:space="0"/>
              <w:right w:val="single" w:color="auto" w:sz="8" w:space="0"/>
            </w:tcBorders>
            <w:vAlign w:val="bottom"/>
          </w:tcPr>
          <w:p>
            <w:pPr>
              <w:spacing w:after="0"/>
              <w:rPr>
                <w:color w:val="auto"/>
                <w:sz w:val="2"/>
                <w:szCs w:val="2"/>
              </w:rPr>
            </w:pPr>
          </w:p>
        </w:tc>
        <w:tc>
          <w:tcPr>
            <w:tcW w:w="1420" w:type="dxa"/>
            <w:tcBorders>
              <w:bottom w:val="single" w:color="auto" w:sz="8" w:space="0"/>
              <w:right w:val="single" w:color="auto" w:sz="8" w:space="0"/>
            </w:tcBorders>
            <w:vAlign w:val="bottom"/>
          </w:tcPr>
          <w:p>
            <w:pPr>
              <w:spacing w:after="0"/>
              <w:rPr>
                <w:color w:val="auto"/>
                <w:sz w:val="2"/>
                <w:szCs w:val="2"/>
              </w:rPr>
            </w:pPr>
          </w:p>
        </w:tc>
        <w:tc>
          <w:tcPr>
            <w:tcW w:w="0" w:type="dxa"/>
            <w:vAlign w:val="bottom"/>
          </w:tcPr>
          <w:p>
            <w:pPr>
              <w:spacing w:after="0"/>
              <w:rPr>
                <w:color w:val="auto"/>
                <w:sz w:val="1"/>
                <w:szCs w:val="1"/>
              </w:rPr>
            </w:pPr>
          </w:p>
        </w:tc>
      </w:tr>
    </w:tbl>
    <w:p>
      <w:pPr>
        <w:spacing w:after="0" w:line="200" w:lineRule="exact"/>
        <w:rPr>
          <w:color w:val="auto"/>
          <w:sz w:val="20"/>
          <w:szCs w:val="20"/>
        </w:rPr>
      </w:pPr>
    </w:p>
    <w:p>
      <w:pPr>
        <w:sectPr>
          <w:pgSz w:w="16840" w:h="11906" w:orient="landscape"/>
          <w:pgMar w:top="1440" w:right="1440" w:bottom="808" w:left="1440" w:header="0" w:footer="0" w:gutter="0"/>
          <w:cols w:equalWidth="0" w:num="1">
            <w:col w:w="13958"/>
          </w:cols>
        </w:sectPr>
      </w:pPr>
    </w:p>
    <w:p>
      <w:pPr>
        <w:spacing w:after="0" w:line="198" w:lineRule="exact"/>
        <w:rPr>
          <w:color w:val="auto"/>
          <w:sz w:val="20"/>
          <w:szCs w:val="20"/>
        </w:rPr>
      </w:pPr>
    </w:p>
    <w:p>
      <w:pPr>
        <w:spacing w:after="0"/>
        <w:ind w:right="-1"/>
        <w:jc w:val="center"/>
        <w:rPr>
          <w:color w:val="auto"/>
          <w:sz w:val="20"/>
          <w:szCs w:val="20"/>
        </w:rPr>
      </w:pPr>
      <w:r>
        <w:rPr>
          <w:rFonts w:ascii="Times New Roman" w:hAnsi="Times New Roman" w:eastAsia="Times New Roman" w:cs="Times New Roman"/>
          <w:color w:val="auto"/>
          <w:sz w:val="24"/>
          <w:szCs w:val="24"/>
        </w:rPr>
        <w:t>3</w:t>
      </w:r>
    </w:p>
    <w:p>
      <w:pPr>
        <w:sectPr>
          <w:type w:val="continuous"/>
          <w:pgSz w:w="16840" w:h="11906" w:orient="landscape"/>
          <w:pgMar w:top="1440" w:right="1440" w:bottom="808" w:left="1440" w:header="0" w:footer="0" w:gutter="0"/>
          <w:cols w:equalWidth="0" w:num="1">
            <w:col w:w="13958"/>
          </w:cols>
        </w:sectPr>
      </w:pPr>
    </w:p>
    <w:p>
      <w:pPr>
        <w:spacing w:after="0" w:line="298" w:lineRule="exact"/>
        <w:rPr>
          <w:color w:val="auto"/>
          <w:sz w:val="20"/>
          <w:szCs w:val="20"/>
        </w:rPr>
      </w:pPr>
      <w:bookmarkStart w:id="2" w:name="page10"/>
      <w:bookmarkEnd w:id="2"/>
    </w:p>
    <w:tbl>
      <w:tblPr>
        <w:tblStyle w:val="2"/>
        <w:tblW w:w="0" w:type="auto"/>
        <w:tblInd w:w="70" w:type="dxa"/>
        <w:tblLayout w:type="fixed"/>
        <w:tblCellMar>
          <w:top w:w="0" w:type="dxa"/>
          <w:left w:w="0" w:type="dxa"/>
          <w:bottom w:w="0" w:type="dxa"/>
          <w:right w:w="0" w:type="dxa"/>
        </w:tblCellMar>
      </w:tblPr>
      <w:tblGrid>
        <w:gridCol w:w="1800"/>
        <w:gridCol w:w="10620"/>
        <w:gridCol w:w="1420"/>
        <w:gridCol w:w="360"/>
      </w:tblGrid>
      <w:tr>
        <w:tblPrEx>
          <w:tblCellMar>
            <w:top w:w="0" w:type="dxa"/>
            <w:left w:w="0" w:type="dxa"/>
            <w:bottom w:w="0" w:type="dxa"/>
            <w:right w:w="0" w:type="dxa"/>
          </w:tblCellMar>
        </w:tblPrEx>
        <w:trPr>
          <w:trHeight w:val="319" w:hRule="atLeast"/>
        </w:trPr>
        <w:tc>
          <w:tcPr>
            <w:tcW w:w="1800" w:type="dxa"/>
            <w:tcBorders>
              <w:top w:val="single" w:color="auto" w:sz="8" w:space="0"/>
              <w:left w:val="single" w:color="auto" w:sz="8" w:space="0"/>
              <w:right w:val="single" w:color="auto" w:sz="8" w:space="0"/>
            </w:tcBorders>
            <w:vAlign w:val="bottom"/>
          </w:tcPr>
          <w:p>
            <w:pPr>
              <w:spacing w:after="0"/>
              <w:rPr>
                <w:color w:val="auto"/>
                <w:sz w:val="24"/>
                <w:szCs w:val="24"/>
              </w:rPr>
            </w:pPr>
          </w:p>
        </w:tc>
        <w:tc>
          <w:tcPr>
            <w:tcW w:w="10620" w:type="dxa"/>
            <w:tcBorders>
              <w:top w:val="single" w:color="auto" w:sz="8" w:space="0"/>
              <w:right w:val="single" w:color="auto" w:sz="8" w:space="0"/>
            </w:tcBorders>
            <w:vAlign w:val="bottom"/>
          </w:tcPr>
          <w:p>
            <w:pPr>
              <w:spacing w:after="0" w:line="291" w:lineRule="exact"/>
              <w:jc w:val="right"/>
              <w:rPr>
                <w:color w:val="auto"/>
                <w:sz w:val="20"/>
                <w:szCs w:val="20"/>
              </w:rPr>
            </w:pPr>
            <w:r>
              <w:rPr>
                <w:rFonts w:ascii="宋体" w:hAnsi="宋体" w:eastAsia="宋体" w:cs="宋体"/>
                <w:color w:val="333333"/>
                <w:sz w:val="24"/>
                <w:szCs w:val="24"/>
              </w:rPr>
              <w:t>（十三）建立健全失信联合惩戒机制。</w:t>
            </w:r>
            <w:r>
              <w:rPr>
                <w:rFonts w:ascii="Arial" w:hAnsi="Arial" w:eastAsia="Arial" w:cs="Arial"/>
                <w:color w:val="333333"/>
                <w:sz w:val="24"/>
                <w:szCs w:val="24"/>
              </w:rPr>
              <w:t>…</w:t>
            </w:r>
            <w:r>
              <w:rPr>
                <w:rFonts w:ascii="宋体" w:hAnsi="宋体" w:eastAsia="宋体" w:cs="宋体"/>
                <w:color w:val="333333"/>
                <w:sz w:val="24"/>
                <w:szCs w:val="24"/>
              </w:rPr>
              <w:t>充分发挥行政、司法、金融、社会等领域的综合监管</w:t>
            </w:r>
          </w:p>
        </w:tc>
        <w:tc>
          <w:tcPr>
            <w:tcW w:w="1420" w:type="dxa"/>
            <w:tcBorders>
              <w:top w:val="single" w:color="auto" w:sz="8" w:space="0"/>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74" w:lineRule="exact"/>
              <w:jc w:val="right"/>
              <w:rPr>
                <w:color w:val="auto"/>
                <w:sz w:val="20"/>
                <w:szCs w:val="20"/>
              </w:rPr>
            </w:pPr>
            <w:r>
              <w:rPr>
                <w:rFonts w:ascii="宋体" w:hAnsi="宋体" w:eastAsia="宋体" w:cs="宋体"/>
                <w:color w:val="333333"/>
                <w:sz w:val="24"/>
                <w:szCs w:val="24"/>
              </w:rPr>
              <w:t>效能，在市场准入、行政审批、资质认定、享受财政补贴和税收优惠政策、企业法定代表人和负责</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74" w:lineRule="exact"/>
              <w:jc w:val="right"/>
              <w:rPr>
                <w:color w:val="auto"/>
                <w:sz w:val="20"/>
                <w:szCs w:val="20"/>
              </w:rPr>
            </w:pPr>
            <w:r>
              <w:rPr>
                <w:rFonts w:ascii="宋体" w:hAnsi="宋体" w:eastAsia="宋体" w:cs="宋体"/>
                <w:color w:val="333333"/>
                <w:sz w:val="24"/>
                <w:szCs w:val="24"/>
              </w:rPr>
              <w:t>人任职资格审查、政府采购、政府购买服务、银行信贷、招标投标、国有土地出让、企业上市、货</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74" w:lineRule="exact"/>
              <w:jc w:val="right"/>
              <w:rPr>
                <w:color w:val="auto"/>
                <w:sz w:val="20"/>
                <w:szCs w:val="20"/>
              </w:rPr>
            </w:pPr>
            <w:r>
              <w:rPr>
                <w:rFonts w:ascii="宋体" w:hAnsi="宋体" w:eastAsia="宋体" w:cs="宋体"/>
                <w:color w:val="333333"/>
                <w:sz w:val="24"/>
                <w:szCs w:val="24"/>
              </w:rPr>
              <w:t>物通关、税收征缴、社保缴费、外汇管理、劳动用工、价格制定、电子商务、产品质量、食品药品</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74" w:lineRule="exact"/>
              <w:jc w:val="right"/>
              <w:rPr>
                <w:color w:val="auto"/>
                <w:sz w:val="20"/>
                <w:szCs w:val="20"/>
              </w:rPr>
            </w:pPr>
            <w:r>
              <w:rPr>
                <w:rFonts w:ascii="宋体" w:hAnsi="宋体" w:eastAsia="宋体" w:cs="宋体"/>
                <w:color w:val="333333"/>
                <w:sz w:val="24"/>
                <w:szCs w:val="24"/>
              </w:rPr>
              <w:t>安全、消费品安全、知识产权、环境保护、治安管理、人口管理、出入境管理、授予荣誉称号等方</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3"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91" w:lineRule="exact"/>
              <w:jc w:val="right"/>
              <w:rPr>
                <w:color w:val="auto"/>
                <w:sz w:val="20"/>
                <w:szCs w:val="20"/>
              </w:rPr>
            </w:pPr>
            <w:r>
              <w:rPr>
                <w:rFonts w:ascii="宋体" w:hAnsi="宋体" w:eastAsia="宋体" w:cs="宋体"/>
                <w:color w:val="333333"/>
                <w:sz w:val="24"/>
                <w:szCs w:val="24"/>
              </w:rPr>
              <w:t>面，建立跨部门联动响应和失信约束机制，对违法失信主体依法予以限制或禁入。建立各行业</w:t>
            </w:r>
            <w:r>
              <w:rPr>
                <w:rFonts w:ascii="Arial" w:hAnsi="Arial" w:eastAsia="Arial" w:cs="Arial"/>
                <w:color w:val="333333"/>
                <w:sz w:val="24"/>
                <w:szCs w:val="24"/>
              </w:rPr>
              <w:t>“</w:t>
            </w:r>
            <w:r>
              <w:rPr>
                <w:rFonts w:ascii="宋体" w:hAnsi="宋体" w:eastAsia="宋体" w:cs="宋体"/>
                <w:color w:val="333333"/>
                <w:sz w:val="24"/>
                <w:szCs w:val="24"/>
              </w:rPr>
              <w:t>黑</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48"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91" w:lineRule="exact"/>
              <w:ind w:left="100"/>
              <w:rPr>
                <w:color w:val="auto"/>
                <w:sz w:val="20"/>
                <w:szCs w:val="20"/>
              </w:rPr>
            </w:pPr>
            <w:r>
              <w:rPr>
                <w:rFonts w:ascii="宋体" w:hAnsi="宋体" w:eastAsia="宋体" w:cs="宋体"/>
                <w:color w:val="333333"/>
                <w:sz w:val="24"/>
                <w:szCs w:val="24"/>
              </w:rPr>
              <w:t>名单</w:t>
            </w:r>
            <w:r>
              <w:rPr>
                <w:rFonts w:ascii="Arial" w:hAnsi="Arial" w:eastAsia="Arial" w:cs="Arial"/>
                <w:color w:val="333333"/>
                <w:sz w:val="24"/>
                <w:szCs w:val="24"/>
              </w:rPr>
              <w:t>”</w:t>
            </w:r>
            <w:r>
              <w:rPr>
                <w:rFonts w:ascii="宋体" w:hAnsi="宋体" w:eastAsia="宋体" w:cs="宋体"/>
                <w:color w:val="333333"/>
                <w:sz w:val="24"/>
                <w:szCs w:val="24"/>
              </w:rPr>
              <w:t>制度和市场退出机制。推动将申请人良好的信用状况作为各类行政许可的必备条件。</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67"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333333"/>
                <w:sz w:val="24"/>
                <w:szCs w:val="24"/>
              </w:rPr>
              <w:t>3</w:t>
            </w:r>
            <w:r>
              <w:rPr>
                <w:rFonts w:ascii="宋体" w:hAnsi="宋体" w:eastAsia="宋体" w:cs="宋体"/>
                <w:b/>
                <w:bCs/>
                <w:color w:val="333333"/>
                <w:sz w:val="24"/>
                <w:szCs w:val="24"/>
              </w:rPr>
              <w:t>、《中华人民共和国政府采购法》</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92" w:lineRule="exact"/>
              <w:jc w:val="right"/>
              <w:rPr>
                <w:color w:val="auto"/>
                <w:sz w:val="20"/>
                <w:szCs w:val="20"/>
              </w:rPr>
            </w:pPr>
            <w:r>
              <w:rPr>
                <w:rFonts w:ascii="宋体" w:hAnsi="宋体" w:eastAsia="宋体" w:cs="宋体"/>
                <w:color w:val="333333"/>
                <w:sz w:val="24"/>
                <w:szCs w:val="24"/>
              </w:rPr>
              <w:t>第二十二条 供应商参加政府采购活动应当具备下列条件：</w:t>
            </w:r>
            <w:r>
              <w:rPr>
                <w:rFonts w:ascii="Times New Roman" w:hAnsi="Times New Roman" w:eastAsia="Times New Roman" w:cs="Times New Roman"/>
                <w:color w:val="333333"/>
                <w:sz w:val="24"/>
                <w:szCs w:val="24"/>
              </w:rPr>
              <w:t>…</w:t>
            </w:r>
            <w:r>
              <w:rPr>
                <w:rFonts w:ascii="宋体" w:hAnsi="宋体" w:eastAsia="宋体" w:cs="宋体"/>
                <w:color w:val="333333"/>
                <w:sz w:val="24"/>
                <w:szCs w:val="24"/>
              </w:rPr>
              <w:t>（</w:t>
            </w:r>
            <w:r>
              <w:rPr>
                <w:rFonts w:ascii="Times New Roman" w:hAnsi="Times New Roman" w:eastAsia="Times New Roman" w:cs="Times New Roman"/>
                <w:color w:val="333333"/>
                <w:sz w:val="24"/>
                <w:szCs w:val="24"/>
              </w:rPr>
              <w:t>2</w:t>
            </w:r>
            <w:r>
              <w:rPr>
                <w:rFonts w:ascii="宋体" w:hAnsi="宋体" w:eastAsia="宋体" w:cs="宋体"/>
                <w:color w:val="333333"/>
                <w:sz w:val="24"/>
                <w:szCs w:val="24"/>
              </w:rPr>
              <w:t>）具有良好的商业信誉和健全</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92" w:lineRule="exact"/>
              <w:ind w:left="100"/>
              <w:rPr>
                <w:color w:val="auto"/>
                <w:sz w:val="20"/>
                <w:szCs w:val="20"/>
              </w:rPr>
            </w:pPr>
            <w:r>
              <w:rPr>
                <w:rFonts w:ascii="宋体" w:hAnsi="宋体" w:eastAsia="宋体" w:cs="宋体"/>
                <w:color w:val="333333"/>
                <w:sz w:val="24"/>
                <w:szCs w:val="24"/>
              </w:rPr>
              <w:t>的财务会计制度；</w:t>
            </w:r>
            <w:r>
              <w:rPr>
                <w:rFonts w:ascii="Times New Roman" w:hAnsi="Times New Roman" w:eastAsia="Times New Roman" w:cs="Times New Roman"/>
                <w:color w:val="333333"/>
                <w:sz w:val="24"/>
                <w:szCs w:val="24"/>
              </w:rPr>
              <w:t>…</w:t>
            </w:r>
            <w:r>
              <w:rPr>
                <w:rFonts w:ascii="宋体" w:hAnsi="宋体" w:eastAsia="宋体" w:cs="宋体"/>
                <w:color w:val="333333"/>
                <w:sz w:val="24"/>
                <w:szCs w:val="24"/>
              </w:rPr>
              <w:t>（</w:t>
            </w:r>
            <w:r>
              <w:rPr>
                <w:rFonts w:ascii="Times New Roman" w:hAnsi="Times New Roman" w:eastAsia="Times New Roman" w:cs="Times New Roman"/>
                <w:color w:val="333333"/>
                <w:sz w:val="24"/>
                <w:szCs w:val="24"/>
              </w:rPr>
              <w:t>5</w:t>
            </w:r>
            <w:r>
              <w:rPr>
                <w:rFonts w:ascii="宋体" w:hAnsi="宋体" w:eastAsia="宋体" w:cs="宋体"/>
                <w:color w:val="333333"/>
                <w:sz w:val="24"/>
                <w:szCs w:val="24"/>
              </w:rPr>
              <w:t>）参加政府采购活动前三年内，在经营活动中没有重大违法记录。</w:t>
            </w:r>
            <w:r>
              <w:rPr>
                <w:rFonts w:ascii="Times New Roman" w:hAnsi="Times New Roman" w:eastAsia="Times New Roman" w:cs="Times New Roman"/>
                <w:color w:val="333333"/>
                <w:sz w:val="24"/>
                <w:szCs w:val="24"/>
              </w:rPr>
              <w:t>…</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333333"/>
                <w:sz w:val="24"/>
                <w:szCs w:val="24"/>
              </w:rPr>
              <w:t>4</w:t>
            </w:r>
            <w:r>
              <w:rPr>
                <w:rFonts w:ascii="宋体" w:hAnsi="宋体" w:eastAsia="宋体" w:cs="宋体"/>
                <w:b/>
                <w:bCs/>
                <w:color w:val="333333"/>
                <w:sz w:val="24"/>
                <w:szCs w:val="24"/>
              </w:rPr>
              <w:t>、《国务院关于印发社会信用体系建设规划纲要（</w:t>
            </w:r>
            <w:r>
              <w:rPr>
                <w:rFonts w:ascii="Times New Roman" w:hAnsi="Times New Roman" w:eastAsia="Times New Roman" w:cs="Times New Roman"/>
                <w:b/>
                <w:bCs/>
                <w:color w:val="333333"/>
                <w:sz w:val="24"/>
                <w:szCs w:val="24"/>
              </w:rPr>
              <w:t xml:space="preserve">2014-2020 </w:t>
            </w:r>
            <w:r>
              <w:rPr>
                <w:rFonts w:ascii="宋体" w:hAnsi="宋体" w:eastAsia="宋体" w:cs="宋体"/>
                <w:b/>
                <w:bCs/>
                <w:color w:val="333333"/>
                <w:sz w:val="24"/>
                <w:szCs w:val="24"/>
              </w:rPr>
              <w:t>年）的通知》</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36"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333333"/>
                <w:sz w:val="24"/>
                <w:szCs w:val="24"/>
              </w:rPr>
              <w:t>第二部分 推进重点领域诚信建设</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91" w:lineRule="exact"/>
              <w:ind w:left="580"/>
              <w:rPr>
                <w:color w:val="auto"/>
                <w:sz w:val="20"/>
                <w:szCs w:val="20"/>
              </w:rPr>
            </w:pPr>
            <w:r>
              <w:rPr>
                <w:rFonts w:ascii="宋体" w:hAnsi="宋体" w:eastAsia="宋体" w:cs="宋体"/>
                <w:color w:val="333333"/>
                <w:sz w:val="24"/>
                <w:szCs w:val="24"/>
              </w:rPr>
              <w:t>（二）深入推进商务诚信建设。</w:t>
            </w:r>
            <w:r>
              <w:rPr>
                <w:rFonts w:ascii="Arial" w:hAnsi="Arial" w:eastAsia="Arial" w:cs="Arial"/>
                <w:color w:val="333333"/>
                <w:sz w:val="24"/>
                <w:szCs w:val="24"/>
              </w:rPr>
              <w:t>…</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91" w:lineRule="exact"/>
              <w:jc w:val="right"/>
              <w:rPr>
                <w:color w:val="auto"/>
                <w:sz w:val="20"/>
                <w:szCs w:val="20"/>
              </w:rPr>
            </w:pPr>
            <w:r>
              <w:rPr>
                <w:rFonts w:ascii="宋体" w:hAnsi="宋体" w:eastAsia="宋体" w:cs="宋体"/>
                <w:color w:val="333333"/>
                <w:sz w:val="24"/>
                <w:szCs w:val="24"/>
              </w:rPr>
              <w:t>政府采购领域信用建设。</w:t>
            </w:r>
            <w:r>
              <w:rPr>
                <w:rFonts w:ascii="Arial" w:hAnsi="Arial" w:eastAsia="Arial" w:cs="Arial"/>
                <w:color w:val="333333"/>
                <w:sz w:val="24"/>
                <w:szCs w:val="24"/>
              </w:rPr>
              <w:t>…</w:t>
            </w:r>
            <w:r>
              <w:rPr>
                <w:rFonts w:ascii="宋体" w:hAnsi="宋体" w:eastAsia="宋体" w:cs="宋体"/>
                <w:color w:val="333333"/>
                <w:sz w:val="24"/>
                <w:szCs w:val="24"/>
              </w:rPr>
              <w:t>制定供应商、评审专家、政府采购代理机构以及相关从业人员的信</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74" w:lineRule="exact"/>
              <w:jc w:val="right"/>
              <w:rPr>
                <w:color w:val="auto"/>
                <w:sz w:val="20"/>
                <w:szCs w:val="20"/>
              </w:rPr>
            </w:pPr>
            <w:r>
              <w:rPr>
                <w:rFonts w:ascii="宋体" w:hAnsi="宋体" w:eastAsia="宋体" w:cs="宋体"/>
                <w:color w:val="333333"/>
                <w:sz w:val="24"/>
                <w:szCs w:val="24"/>
              </w:rPr>
              <w:t>用记录标准。依法建立政府采购供应商不良行为记录名单，对列入不良行为记录名单的供应商，在</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74" w:lineRule="exact"/>
              <w:jc w:val="right"/>
              <w:rPr>
                <w:color w:val="auto"/>
                <w:sz w:val="20"/>
                <w:szCs w:val="20"/>
              </w:rPr>
            </w:pPr>
            <w:r>
              <w:rPr>
                <w:rFonts w:ascii="宋体" w:hAnsi="宋体" w:eastAsia="宋体" w:cs="宋体"/>
                <w:color w:val="333333"/>
                <w:sz w:val="24"/>
                <w:szCs w:val="24"/>
              </w:rPr>
              <w:t>一定期限内禁止参加政府采购活动。完善政府采购市场的准入和退出机制，充分利用工商、税务、</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3"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91" w:lineRule="exact"/>
              <w:ind w:left="100"/>
              <w:rPr>
                <w:color w:val="auto"/>
                <w:sz w:val="20"/>
                <w:szCs w:val="20"/>
              </w:rPr>
            </w:pPr>
            <w:r>
              <w:rPr>
                <w:rFonts w:ascii="宋体" w:hAnsi="宋体" w:eastAsia="宋体" w:cs="宋体"/>
                <w:color w:val="333333"/>
                <w:sz w:val="24"/>
                <w:szCs w:val="24"/>
              </w:rPr>
              <w:t>金融、检察等其他部门提供的信用信息，加强对政府采购当事人和相关人员的信用管理。</w:t>
            </w:r>
            <w:r>
              <w:rPr>
                <w:rFonts w:ascii="Arial" w:hAnsi="Arial" w:eastAsia="Arial" w:cs="Arial"/>
                <w:color w:val="333333"/>
                <w:sz w:val="24"/>
                <w:szCs w:val="24"/>
              </w:rPr>
              <w:t>…</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40" w:hRule="atLeast"/>
        </w:trPr>
        <w:tc>
          <w:tcPr>
            <w:tcW w:w="180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10620" w:type="dxa"/>
            <w:tcBorders>
              <w:bottom w:val="single" w:color="auto" w:sz="8" w:space="0"/>
              <w:right w:val="single" w:color="auto" w:sz="8" w:space="0"/>
            </w:tcBorders>
            <w:vAlign w:val="bottom"/>
          </w:tcPr>
          <w:p>
            <w:pPr>
              <w:spacing w:after="0"/>
              <w:rPr>
                <w:color w:val="auto"/>
                <w:sz w:val="3"/>
                <w:szCs w:val="3"/>
              </w:rPr>
            </w:pPr>
          </w:p>
        </w:tc>
        <w:tc>
          <w:tcPr>
            <w:tcW w:w="1420" w:type="dxa"/>
            <w:tcBorders>
              <w:bottom w:val="single" w:color="auto" w:sz="8" w:space="0"/>
              <w:right w:val="single" w:color="auto" w:sz="8" w:space="0"/>
            </w:tcBorders>
            <w:vAlign w:val="bottom"/>
          </w:tcPr>
          <w:p>
            <w:pPr>
              <w:spacing w:after="0"/>
              <w:rPr>
                <w:color w:val="auto"/>
                <w:sz w:val="3"/>
                <w:szCs w:val="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14"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333333"/>
                <w:sz w:val="24"/>
                <w:szCs w:val="24"/>
              </w:rPr>
              <w:t>1</w:t>
            </w:r>
            <w:r>
              <w:rPr>
                <w:rFonts w:ascii="宋体" w:hAnsi="宋体" w:eastAsia="宋体" w:cs="宋体"/>
                <w:b/>
                <w:bCs/>
                <w:color w:val="333333"/>
                <w:sz w:val="24"/>
                <w:szCs w:val="24"/>
              </w:rPr>
              <w:t>、《国务院关于印发社会信用体系建设规划纲要（</w:t>
            </w:r>
            <w:r>
              <w:rPr>
                <w:rFonts w:ascii="Times New Roman" w:hAnsi="Times New Roman" w:eastAsia="Times New Roman" w:cs="Times New Roman"/>
                <w:b/>
                <w:bCs/>
                <w:color w:val="333333"/>
                <w:sz w:val="24"/>
                <w:szCs w:val="24"/>
              </w:rPr>
              <w:t xml:space="preserve">2014-2020 </w:t>
            </w:r>
            <w:r>
              <w:rPr>
                <w:rFonts w:ascii="宋体" w:hAnsi="宋体" w:eastAsia="宋体" w:cs="宋体"/>
                <w:b/>
                <w:bCs/>
                <w:color w:val="333333"/>
                <w:sz w:val="24"/>
                <w:szCs w:val="24"/>
              </w:rPr>
              <w:t>年）的通知》</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36" w:hRule="atLeast"/>
        </w:trPr>
        <w:tc>
          <w:tcPr>
            <w:tcW w:w="1800" w:type="dxa"/>
            <w:vMerge w:val="restart"/>
            <w:tcBorders>
              <w:left w:val="single" w:color="auto" w:sz="8" w:space="0"/>
              <w:right w:val="single" w:color="auto" w:sz="8" w:space="0"/>
            </w:tcBorders>
            <w:vAlign w:val="bottom"/>
          </w:tcPr>
          <w:p>
            <w:pPr>
              <w:spacing w:after="0" w:line="292" w:lineRule="exact"/>
              <w:ind w:left="120"/>
              <w:rPr>
                <w:color w:val="auto"/>
                <w:sz w:val="20"/>
                <w:szCs w:val="20"/>
              </w:rPr>
            </w:pPr>
            <w:r>
              <w:rPr>
                <w:rFonts w:ascii="Times New Roman" w:hAnsi="Times New Roman" w:eastAsia="Times New Roman" w:cs="Times New Roman"/>
                <w:color w:val="333333"/>
                <w:sz w:val="24"/>
                <w:szCs w:val="24"/>
              </w:rPr>
              <w:t>5</w:t>
            </w:r>
            <w:r>
              <w:rPr>
                <w:rFonts w:ascii="宋体" w:hAnsi="宋体" w:eastAsia="宋体" w:cs="宋体"/>
                <w:color w:val="333333"/>
                <w:sz w:val="24"/>
                <w:szCs w:val="24"/>
              </w:rPr>
              <w:t>、对失信主体</w:t>
            </w:r>
          </w:p>
        </w:tc>
        <w:tc>
          <w:tcPr>
            <w:tcW w:w="1062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333333"/>
                <w:sz w:val="24"/>
                <w:szCs w:val="24"/>
              </w:rPr>
              <w:t>第二部分 推进重点领域诚信建设</w:t>
            </w:r>
          </w:p>
        </w:tc>
        <w:tc>
          <w:tcPr>
            <w:tcW w:w="142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国家发展改</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87" w:hRule="atLeast"/>
        </w:trPr>
        <w:tc>
          <w:tcPr>
            <w:tcW w:w="1800" w:type="dxa"/>
            <w:vMerge w:val="continue"/>
            <w:tcBorders>
              <w:left w:val="single" w:color="auto" w:sz="8" w:space="0"/>
              <w:right w:val="single" w:color="auto" w:sz="8" w:space="0"/>
            </w:tcBorders>
            <w:vAlign w:val="bottom"/>
          </w:tcPr>
          <w:p>
            <w:pPr>
              <w:spacing w:after="0"/>
              <w:rPr>
                <w:color w:val="auto"/>
                <w:sz w:val="16"/>
                <w:szCs w:val="16"/>
              </w:rPr>
            </w:pPr>
          </w:p>
        </w:tc>
        <w:tc>
          <w:tcPr>
            <w:tcW w:w="10620" w:type="dxa"/>
            <w:vMerge w:val="restart"/>
            <w:tcBorders>
              <w:right w:val="single" w:color="auto" w:sz="8" w:space="0"/>
            </w:tcBorders>
            <w:vAlign w:val="bottom"/>
          </w:tcPr>
          <w:p>
            <w:pPr>
              <w:spacing w:after="0" w:line="291" w:lineRule="exact"/>
              <w:ind w:left="580"/>
              <w:rPr>
                <w:color w:val="auto"/>
                <w:sz w:val="20"/>
                <w:szCs w:val="20"/>
              </w:rPr>
            </w:pPr>
            <w:r>
              <w:rPr>
                <w:rFonts w:ascii="宋体" w:hAnsi="宋体" w:eastAsia="宋体" w:cs="宋体"/>
                <w:color w:val="333333"/>
                <w:sz w:val="24"/>
                <w:szCs w:val="24"/>
              </w:rPr>
              <w:t>（二）深入推进商务诚信建设。</w:t>
            </w:r>
            <w:r>
              <w:rPr>
                <w:rFonts w:ascii="Arial" w:hAnsi="Arial" w:eastAsia="Arial" w:cs="Arial"/>
                <w:color w:val="333333"/>
                <w:sz w:val="24"/>
                <w:szCs w:val="24"/>
              </w:rPr>
              <w:t>…</w:t>
            </w:r>
          </w:p>
        </w:tc>
        <w:tc>
          <w:tcPr>
            <w:tcW w:w="1420" w:type="dxa"/>
            <w:vMerge w:val="restart"/>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革委、交通</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64" w:hRule="atLeast"/>
        </w:trPr>
        <w:tc>
          <w:tcPr>
            <w:tcW w:w="1800" w:type="dxa"/>
            <w:vMerge w:val="restart"/>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参与工程等招</w:t>
            </w:r>
          </w:p>
        </w:tc>
        <w:tc>
          <w:tcPr>
            <w:tcW w:w="10620" w:type="dxa"/>
            <w:vMerge w:val="continue"/>
            <w:tcBorders>
              <w:right w:val="single" w:color="auto" w:sz="8" w:space="0"/>
            </w:tcBorders>
            <w:vAlign w:val="bottom"/>
          </w:tcPr>
          <w:p>
            <w:pPr>
              <w:spacing w:after="0"/>
              <w:rPr>
                <w:color w:val="auto"/>
                <w:sz w:val="14"/>
                <w:szCs w:val="14"/>
              </w:rPr>
            </w:pPr>
          </w:p>
        </w:tc>
        <w:tc>
          <w:tcPr>
            <w:tcW w:w="1420" w:type="dxa"/>
            <w:vMerge w:val="continue"/>
            <w:tcBorders>
              <w:right w:val="single" w:color="auto" w:sz="8" w:space="0"/>
            </w:tcBorders>
            <w:vAlign w:val="bottom"/>
          </w:tcPr>
          <w:p>
            <w:pPr>
              <w:spacing w:after="0"/>
              <w:rPr>
                <w:color w:val="auto"/>
                <w:sz w:val="14"/>
                <w:szCs w:val="1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3" w:hRule="atLeast"/>
        </w:trPr>
        <w:tc>
          <w:tcPr>
            <w:tcW w:w="1800" w:type="dxa"/>
            <w:vMerge w:val="continue"/>
            <w:tcBorders>
              <w:left w:val="single" w:color="auto" w:sz="8" w:space="0"/>
              <w:right w:val="single" w:color="auto" w:sz="8" w:space="0"/>
            </w:tcBorders>
            <w:vAlign w:val="bottom"/>
          </w:tcPr>
          <w:p>
            <w:pPr>
              <w:spacing w:after="0"/>
              <w:rPr>
                <w:color w:val="auto"/>
                <w:sz w:val="15"/>
                <w:szCs w:val="15"/>
              </w:rPr>
            </w:pPr>
          </w:p>
        </w:tc>
        <w:tc>
          <w:tcPr>
            <w:tcW w:w="10620" w:type="dxa"/>
            <w:vMerge w:val="restart"/>
            <w:tcBorders>
              <w:right w:val="single" w:color="auto" w:sz="8" w:space="0"/>
            </w:tcBorders>
            <w:vAlign w:val="bottom"/>
          </w:tcPr>
          <w:p>
            <w:pPr>
              <w:spacing w:after="0" w:line="274" w:lineRule="exact"/>
              <w:jc w:val="right"/>
              <w:rPr>
                <w:color w:val="auto"/>
                <w:sz w:val="20"/>
                <w:szCs w:val="20"/>
              </w:rPr>
            </w:pPr>
            <w:r>
              <w:rPr>
                <w:rFonts w:ascii="宋体" w:hAnsi="宋体" w:eastAsia="宋体" w:cs="宋体"/>
                <w:color w:val="333333"/>
                <w:sz w:val="24"/>
                <w:szCs w:val="24"/>
              </w:rPr>
              <w:t>招标投标领域信用建设。扩大招标投标信用信息公开和共享范围，建立涵盖招标投标情况的信</w:t>
            </w:r>
          </w:p>
        </w:tc>
        <w:tc>
          <w:tcPr>
            <w:tcW w:w="1420" w:type="dxa"/>
            <w:vMerge w:val="restart"/>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运输部、国</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8" w:hRule="atLeast"/>
        </w:trPr>
        <w:tc>
          <w:tcPr>
            <w:tcW w:w="1800" w:type="dxa"/>
            <w:vMerge w:val="restart"/>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投标依法予以</w:t>
            </w:r>
          </w:p>
        </w:tc>
        <w:tc>
          <w:tcPr>
            <w:tcW w:w="10620" w:type="dxa"/>
            <w:vMerge w:val="continue"/>
            <w:tcBorders>
              <w:right w:val="single" w:color="auto" w:sz="8" w:space="0"/>
            </w:tcBorders>
            <w:vAlign w:val="bottom"/>
          </w:tcPr>
          <w:p>
            <w:pPr>
              <w:spacing w:after="0"/>
              <w:rPr>
                <w:color w:val="auto"/>
                <w:sz w:val="15"/>
                <w:szCs w:val="15"/>
              </w:rPr>
            </w:pPr>
          </w:p>
        </w:tc>
        <w:tc>
          <w:tcPr>
            <w:tcW w:w="1420" w:type="dxa"/>
            <w:vMerge w:val="continue"/>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5" w:hRule="atLeast"/>
        </w:trPr>
        <w:tc>
          <w:tcPr>
            <w:tcW w:w="1800" w:type="dxa"/>
            <w:vMerge w:val="continue"/>
            <w:tcBorders>
              <w:left w:val="single" w:color="auto" w:sz="8" w:space="0"/>
              <w:right w:val="single" w:color="auto" w:sz="8" w:space="0"/>
            </w:tcBorders>
            <w:vAlign w:val="bottom"/>
          </w:tcPr>
          <w:p>
            <w:pPr>
              <w:spacing w:after="0"/>
              <w:rPr>
                <w:color w:val="auto"/>
                <w:sz w:val="15"/>
                <w:szCs w:val="15"/>
              </w:rPr>
            </w:pPr>
          </w:p>
        </w:tc>
        <w:tc>
          <w:tcPr>
            <w:tcW w:w="10620" w:type="dxa"/>
            <w:vMerge w:val="restart"/>
            <w:tcBorders>
              <w:right w:val="single" w:color="auto" w:sz="8" w:space="0"/>
            </w:tcBorders>
            <w:vAlign w:val="bottom"/>
          </w:tcPr>
          <w:p>
            <w:pPr>
              <w:spacing w:after="0" w:line="274" w:lineRule="exact"/>
              <w:jc w:val="right"/>
              <w:rPr>
                <w:color w:val="auto"/>
                <w:sz w:val="20"/>
                <w:szCs w:val="20"/>
              </w:rPr>
            </w:pPr>
            <w:r>
              <w:rPr>
                <w:rFonts w:ascii="宋体" w:hAnsi="宋体" w:eastAsia="宋体" w:cs="宋体"/>
                <w:color w:val="333333"/>
                <w:sz w:val="24"/>
                <w:szCs w:val="24"/>
              </w:rPr>
              <w:t>用评价指标和评价标准体系，健全招标投标信用信息公开和共享制度。进一步贯彻落实招标投标违</w:t>
            </w:r>
          </w:p>
        </w:tc>
        <w:tc>
          <w:tcPr>
            <w:tcW w:w="1420" w:type="dxa"/>
            <w:vMerge w:val="restart"/>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家铁路局、</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5" w:hRule="atLeast"/>
        </w:trPr>
        <w:tc>
          <w:tcPr>
            <w:tcW w:w="1800" w:type="dxa"/>
            <w:vMerge w:val="restart"/>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限制。</w:t>
            </w:r>
          </w:p>
        </w:tc>
        <w:tc>
          <w:tcPr>
            <w:tcW w:w="10620" w:type="dxa"/>
            <w:vMerge w:val="continue"/>
            <w:tcBorders>
              <w:right w:val="single" w:color="auto" w:sz="8" w:space="0"/>
            </w:tcBorders>
            <w:vAlign w:val="bottom"/>
          </w:tcPr>
          <w:p>
            <w:pPr>
              <w:spacing w:after="0"/>
              <w:rPr>
                <w:color w:val="auto"/>
                <w:sz w:val="15"/>
                <w:szCs w:val="15"/>
              </w:rPr>
            </w:pPr>
          </w:p>
        </w:tc>
        <w:tc>
          <w:tcPr>
            <w:tcW w:w="1420" w:type="dxa"/>
            <w:vMerge w:val="continue"/>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3" w:hRule="atLeast"/>
        </w:trPr>
        <w:tc>
          <w:tcPr>
            <w:tcW w:w="1800" w:type="dxa"/>
            <w:vMerge w:val="continue"/>
            <w:tcBorders>
              <w:left w:val="single" w:color="auto" w:sz="8" w:space="0"/>
              <w:right w:val="single" w:color="auto" w:sz="8" w:space="0"/>
            </w:tcBorders>
            <w:vAlign w:val="bottom"/>
          </w:tcPr>
          <w:p>
            <w:pPr>
              <w:spacing w:after="0"/>
              <w:rPr>
                <w:color w:val="auto"/>
                <w:sz w:val="15"/>
                <w:szCs w:val="15"/>
              </w:rPr>
            </w:pPr>
          </w:p>
        </w:tc>
        <w:tc>
          <w:tcPr>
            <w:tcW w:w="10620" w:type="dxa"/>
            <w:vMerge w:val="restart"/>
            <w:tcBorders>
              <w:right w:val="single" w:color="auto" w:sz="8" w:space="0"/>
            </w:tcBorders>
            <w:vAlign w:val="bottom"/>
          </w:tcPr>
          <w:p>
            <w:pPr>
              <w:spacing w:after="0" w:line="274" w:lineRule="exact"/>
              <w:jc w:val="right"/>
              <w:rPr>
                <w:color w:val="auto"/>
                <w:sz w:val="20"/>
                <w:szCs w:val="20"/>
              </w:rPr>
            </w:pPr>
            <w:r>
              <w:rPr>
                <w:rFonts w:ascii="宋体" w:hAnsi="宋体" w:eastAsia="宋体" w:cs="宋体"/>
                <w:color w:val="333333"/>
                <w:sz w:val="24"/>
                <w:szCs w:val="24"/>
              </w:rPr>
              <w:t>法行为记录公告制度，推动完善奖惩联动机制。依托电子招标投标系统及其公共服务平台，实现招</w:t>
            </w:r>
          </w:p>
        </w:tc>
        <w:tc>
          <w:tcPr>
            <w:tcW w:w="1420" w:type="dxa"/>
            <w:vMerge w:val="restart"/>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中国民航局</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8" w:hRule="atLeast"/>
        </w:trPr>
        <w:tc>
          <w:tcPr>
            <w:tcW w:w="1800" w:type="dxa"/>
            <w:tcBorders>
              <w:left w:val="single" w:color="auto" w:sz="8" w:space="0"/>
              <w:right w:val="single" w:color="auto" w:sz="8" w:space="0"/>
            </w:tcBorders>
            <w:vAlign w:val="bottom"/>
          </w:tcPr>
          <w:p>
            <w:pPr>
              <w:spacing w:after="0"/>
              <w:rPr>
                <w:color w:val="auto"/>
                <w:sz w:val="15"/>
                <w:szCs w:val="15"/>
              </w:rPr>
            </w:pPr>
          </w:p>
        </w:tc>
        <w:tc>
          <w:tcPr>
            <w:tcW w:w="10620" w:type="dxa"/>
            <w:vMerge w:val="continue"/>
            <w:tcBorders>
              <w:right w:val="single" w:color="auto" w:sz="8" w:space="0"/>
            </w:tcBorders>
            <w:vAlign w:val="bottom"/>
          </w:tcPr>
          <w:p>
            <w:pPr>
              <w:spacing w:after="0"/>
              <w:rPr>
                <w:color w:val="auto"/>
                <w:sz w:val="15"/>
                <w:szCs w:val="15"/>
              </w:rPr>
            </w:pPr>
          </w:p>
        </w:tc>
        <w:tc>
          <w:tcPr>
            <w:tcW w:w="1420" w:type="dxa"/>
            <w:vMerge w:val="continue"/>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74" w:lineRule="exact"/>
              <w:jc w:val="right"/>
              <w:rPr>
                <w:color w:val="auto"/>
                <w:sz w:val="20"/>
                <w:szCs w:val="20"/>
              </w:rPr>
            </w:pPr>
            <w:r>
              <w:rPr>
                <w:rFonts w:ascii="宋体" w:hAnsi="宋体" w:eastAsia="宋体" w:cs="宋体"/>
                <w:color w:val="333333"/>
                <w:sz w:val="24"/>
                <w:szCs w:val="24"/>
              </w:rPr>
              <w:t>标投标和合同履行等信用信息的互联互通、实时交换和整合共享。鼓励市场主体运用基本信用信息</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40" w:hRule="atLeast"/>
        </w:trPr>
        <w:tc>
          <w:tcPr>
            <w:tcW w:w="180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10620" w:type="dxa"/>
            <w:tcBorders>
              <w:bottom w:val="single" w:color="auto" w:sz="8" w:space="0"/>
              <w:right w:val="single" w:color="auto" w:sz="8" w:space="0"/>
            </w:tcBorders>
            <w:vAlign w:val="bottom"/>
          </w:tcPr>
          <w:p>
            <w:pPr>
              <w:spacing w:after="0"/>
              <w:rPr>
                <w:color w:val="auto"/>
                <w:sz w:val="3"/>
                <w:szCs w:val="3"/>
              </w:rPr>
            </w:pPr>
          </w:p>
        </w:tc>
        <w:tc>
          <w:tcPr>
            <w:tcW w:w="1420" w:type="dxa"/>
            <w:tcBorders>
              <w:bottom w:val="single" w:color="auto" w:sz="8" w:space="0"/>
              <w:right w:val="single" w:color="auto" w:sz="8" w:space="0"/>
            </w:tcBorders>
            <w:vAlign w:val="bottom"/>
          </w:tcPr>
          <w:p>
            <w:pPr>
              <w:spacing w:after="0"/>
              <w:rPr>
                <w:color w:val="auto"/>
                <w:sz w:val="3"/>
                <w:szCs w:val="3"/>
              </w:rPr>
            </w:pPr>
          </w:p>
        </w:tc>
        <w:tc>
          <w:tcPr>
            <w:tcW w:w="0" w:type="dxa"/>
            <w:vAlign w:val="bottom"/>
          </w:tcPr>
          <w:p>
            <w:pPr>
              <w:spacing w:after="0"/>
              <w:rPr>
                <w:color w:val="auto"/>
                <w:sz w:val="1"/>
                <w:szCs w:val="1"/>
              </w:rPr>
            </w:pPr>
          </w:p>
        </w:tc>
      </w:tr>
    </w:tbl>
    <w:p>
      <w:pPr>
        <w:spacing w:after="0" w:line="57" w:lineRule="exact"/>
        <w:rPr>
          <w:color w:val="auto"/>
          <w:sz w:val="20"/>
          <w:szCs w:val="20"/>
        </w:rPr>
      </w:pPr>
    </w:p>
    <w:p>
      <w:pPr>
        <w:sectPr>
          <w:pgSz w:w="16840" w:h="11906" w:orient="landscape"/>
          <w:pgMar w:top="1440" w:right="1440" w:bottom="808" w:left="1440" w:header="0" w:footer="0" w:gutter="0"/>
          <w:cols w:equalWidth="0" w:num="1">
            <w:col w:w="13958"/>
          </w:cols>
        </w:sectPr>
      </w:pPr>
    </w:p>
    <w:p>
      <w:pPr>
        <w:spacing w:after="0"/>
        <w:ind w:right="-1"/>
        <w:jc w:val="center"/>
        <w:rPr>
          <w:color w:val="auto"/>
          <w:sz w:val="20"/>
          <w:szCs w:val="20"/>
        </w:rPr>
      </w:pPr>
      <w:r>
        <w:rPr>
          <w:rFonts w:ascii="Times New Roman" w:hAnsi="Times New Roman" w:eastAsia="Times New Roman" w:cs="Times New Roman"/>
          <w:color w:val="auto"/>
          <w:sz w:val="24"/>
          <w:szCs w:val="24"/>
        </w:rPr>
        <w:t>4</w:t>
      </w:r>
    </w:p>
    <w:p>
      <w:pPr>
        <w:sectPr>
          <w:type w:val="continuous"/>
          <w:pgSz w:w="16840" w:h="11906" w:orient="landscape"/>
          <w:pgMar w:top="1440" w:right="1440" w:bottom="808" w:left="1440" w:header="0" w:footer="0" w:gutter="0"/>
          <w:cols w:equalWidth="0" w:num="1">
            <w:col w:w="13958"/>
          </w:cols>
        </w:sectPr>
      </w:pPr>
    </w:p>
    <w:p>
      <w:pPr>
        <w:spacing w:after="0" w:line="364" w:lineRule="exact"/>
        <w:rPr>
          <w:color w:val="auto"/>
          <w:sz w:val="20"/>
          <w:szCs w:val="20"/>
        </w:rPr>
      </w:pPr>
      <w:bookmarkStart w:id="3" w:name="page11"/>
      <w:bookmarkEnd w:id="3"/>
      <w:r>
        <w:rPr>
          <w:color w:val="auto"/>
          <w:sz w:val="20"/>
          <w:szCs w:val="20"/>
        </w:rPr>
        <w:drawing>
          <wp:anchor distT="0" distB="0" distL="114300" distR="114300" simplePos="0" relativeHeight="251658240" behindDoc="1" locked="0" layoutInCell="0" allowOverlap="1">
            <wp:simplePos x="0" y="0"/>
            <wp:positionH relativeFrom="page">
              <wp:posOffset>954405</wp:posOffset>
            </wp:positionH>
            <wp:positionV relativeFrom="page">
              <wp:posOffset>1116330</wp:posOffset>
            </wp:positionV>
            <wp:extent cx="8783320" cy="5183505"/>
            <wp:effectExtent l="0" t="0" r="10160" b="133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a:clrChange>
                        <a:clrFrom>
                          <a:srgbClr val="FFFFFF"/>
                        </a:clrFrom>
                        <a:clrTo>
                          <a:srgbClr val="FFFFFF">
                            <a:alpha val="0"/>
                          </a:srgbClr>
                        </a:clrTo>
                      </a:clrChange>
                    </a:blip>
                    <a:srcRect/>
                    <a:stretch>
                      <a:fillRect/>
                    </a:stretch>
                  </pic:blipFill>
                  <pic:spPr>
                    <a:xfrm>
                      <a:off x="0" y="0"/>
                      <a:ext cx="8783320" cy="5183505"/>
                    </a:xfrm>
                    <a:prstGeom prst="rect">
                      <a:avLst/>
                    </a:prstGeom>
                    <a:noFill/>
                  </pic:spPr>
                </pic:pic>
              </a:graphicData>
            </a:graphic>
          </wp:anchor>
        </w:drawing>
      </w:r>
    </w:p>
    <w:p>
      <w:pPr>
        <w:spacing w:after="0" w:line="274" w:lineRule="exact"/>
        <w:ind w:left="1960"/>
        <w:rPr>
          <w:color w:val="auto"/>
          <w:sz w:val="20"/>
          <w:szCs w:val="20"/>
        </w:rPr>
      </w:pPr>
      <w:r>
        <w:rPr>
          <w:rFonts w:ascii="宋体" w:hAnsi="宋体" w:eastAsia="宋体" w:cs="宋体"/>
          <w:color w:val="333333"/>
          <w:sz w:val="24"/>
          <w:szCs w:val="24"/>
        </w:rPr>
        <w:t>和第三方信用评价结果，并将其作为投标人资格审查、评标、定标和合同签订的重要依据。</w:t>
      </w:r>
    </w:p>
    <w:p>
      <w:pPr>
        <w:spacing w:after="0" w:line="46" w:lineRule="exact"/>
        <w:rPr>
          <w:color w:val="auto"/>
          <w:sz w:val="20"/>
          <w:szCs w:val="20"/>
        </w:rPr>
      </w:pPr>
    </w:p>
    <w:p>
      <w:pPr>
        <w:spacing w:after="0" w:line="292" w:lineRule="exact"/>
        <w:ind w:left="2440"/>
        <w:rPr>
          <w:color w:val="auto"/>
          <w:sz w:val="20"/>
          <w:szCs w:val="20"/>
        </w:rPr>
      </w:pPr>
      <w:r>
        <w:rPr>
          <w:rFonts w:ascii="Times New Roman" w:hAnsi="Times New Roman" w:eastAsia="Times New Roman" w:cs="Times New Roman"/>
          <w:b/>
          <w:bCs/>
          <w:color w:val="333333"/>
          <w:sz w:val="24"/>
          <w:szCs w:val="24"/>
        </w:rPr>
        <w:t>2</w:t>
      </w:r>
      <w:r>
        <w:rPr>
          <w:rFonts w:ascii="宋体" w:hAnsi="宋体" w:eastAsia="宋体" w:cs="宋体"/>
          <w:b/>
          <w:bCs/>
          <w:color w:val="333333"/>
          <w:sz w:val="24"/>
          <w:szCs w:val="24"/>
        </w:rPr>
        <w:t>、《国务院办公厅关于运用大数据加强对市场主体服务和监管的若干意见》</w:t>
      </w:r>
    </w:p>
    <w:p>
      <w:pPr>
        <w:spacing w:after="0" w:line="162" w:lineRule="exact"/>
        <w:rPr>
          <w:color w:val="auto"/>
          <w:sz w:val="20"/>
          <w:szCs w:val="20"/>
        </w:rPr>
      </w:pPr>
    </w:p>
    <w:p>
      <w:pPr>
        <w:spacing w:after="0" w:line="342" w:lineRule="exact"/>
        <w:ind w:left="1960" w:right="1498" w:firstLine="480"/>
        <w:jc w:val="both"/>
        <w:rPr>
          <w:color w:val="auto"/>
          <w:sz w:val="20"/>
          <w:szCs w:val="20"/>
        </w:rPr>
      </w:pPr>
      <w:r>
        <w:rPr>
          <w:rFonts w:ascii="宋体" w:hAnsi="宋体" w:eastAsia="宋体" w:cs="宋体"/>
          <w:color w:val="333333"/>
          <w:sz w:val="24"/>
          <w:szCs w:val="24"/>
        </w:rPr>
        <w:t>（十三）建立健全失信联合惩戒机制。各级人民政府应将使用信用信息和信用报告嵌入行政管理和公共服务的各领域、各环节，作为必要条件或重要参考依据。充分发挥行政、司法、金融、社会等领域的综合监管效能，在市场准入、行政审批、资质认定、享受财政补贴和税收优惠政策、企业法定代表人和负责人任职资格审查、政府采购、政府购买服务、银行信贷、招标投标、国有土地出让、企业上市、货物通关、税收征缴、社保缴费、外汇管理、劳动用工、价格制定、电子商务、产品质量、食品药品安全、消费品安全、知识产权、环境保护、治安管理、人口管理、出入境管理、授予荣誉称号等方面，建立跨部门联动响应和失信约束机制，对违法失信主体依法予以限制或禁入。建立各行业</w:t>
      </w:r>
      <w:r>
        <w:rPr>
          <w:rFonts w:ascii="Arial" w:hAnsi="Arial" w:eastAsia="Arial" w:cs="Arial"/>
          <w:color w:val="333333"/>
          <w:sz w:val="24"/>
          <w:szCs w:val="24"/>
        </w:rPr>
        <w:t>“</w:t>
      </w:r>
      <w:r>
        <w:rPr>
          <w:rFonts w:ascii="宋体" w:hAnsi="宋体" w:eastAsia="宋体" w:cs="宋体"/>
          <w:color w:val="333333"/>
          <w:sz w:val="24"/>
          <w:szCs w:val="24"/>
        </w:rPr>
        <w:t>黑名单</w:t>
      </w:r>
      <w:r>
        <w:rPr>
          <w:rFonts w:ascii="Arial" w:hAnsi="Arial" w:eastAsia="Arial" w:cs="Arial"/>
          <w:color w:val="333333"/>
          <w:sz w:val="24"/>
          <w:szCs w:val="24"/>
        </w:rPr>
        <w:t>”</w:t>
      </w:r>
      <w:r>
        <w:rPr>
          <w:rFonts w:ascii="宋体" w:hAnsi="宋体" w:eastAsia="宋体" w:cs="宋体"/>
          <w:color w:val="333333"/>
          <w:sz w:val="24"/>
          <w:szCs w:val="24"/>
        </w:rPr>
        <w:t>制度和市场退出机制。推动将申请人良好的信用状况作为各类行政许可的必备条件。</w:t>
      </w:r>
    </w:p>
    <w:p>
      <w:pPr>
        <w:spacing w:after="0" w:line="51" w:lineRule="exact"/>
        <w:rPr>
          <w:color w:val="auto"/>
          <w:sz w:val="20"/>
          <w:szCs w:val="20"/>
        </w:rPr>
      </w:pPr>
    </w:p>
    <w:p>
      <w:pPr>
        <w:spacing w:after="0" w:line="292" w:lineRule="exact"/>
        <w:ind w:left="2440"/>
        <w:rPr>
          <w:color w:val="auto"/>
          <w:sz w:val="20"/>
          <w:szCs w:val="20"/>
        </w:rPr>
      </w:pPr>
      <w:r>
        <w:rPr>
          <w:rFonts w:ascii="Times New Roman" w:hAnsi="Times New Roman" w:eastAsia="Times New Roman" w:cs="Times New Roman"/>
          <w:b/>
          <w:bCs/>
          <w:color w:val="333333"/>
          <w:sz w:val="24"/>
          <w:szCs w:val="24"/>
        </w:rPr>
        <w:t>3</w:t>
      </w:r>
      <w:r>
        <w:rPr>
          <w:rFonts w:ascii="宋体" w:hAnsi="宋体" w:eastAsia="宋体" w:cs="宋体"/>
          <w:b/>
          <w:bCs/>
          <w:color w:val="333333"/>
          <w:sz w:val="24"/>
          <w:szCs w:val="24"/>
        </w:rPr>
        <w:t>、《工程建设项目施工招标投标办法》</w:t>
      </w:r>
    </w:p>
    <w:p>
      <w:pPr>
        <w:spacing w:after="0" w:line="93" w:lineRule="exact"/>
        <w:rPr>
          <w:color w:val="auto"/>
          <w:sz w:val="20"/>
          <w:szCs w:val="20"/>
        </w:rPr>
      </w:pPr>
    </w:p>
    <w:p>
      <w:pPr>
        <w:spacing w:after="0" w:line="331" w:lineRule="exact"/>
        <w:ind w:left="1960" w:right="1498" w:firstLine="480"/>
        <w:jc w:val="both"/>
        <w:rPr>
          <w:color w:val="auto"/>
          <w:sz w:val="20"/>
          <w:szCs w:val="20"/>
        </w:rPr>
      </w:pPr>
      <w:r>
        <w:rPr>
          <w:rFonts w:ascii="宋体" w:hAnsi="宋体" w:eastAsia="宋体" w:cs="宋体"/>
          <w:color w:val="333333"/>
          <w:sz w:val="23"/>
          <w:szCs w:val="23"/>
        </w:rPr>
        <w:t>第二十条 资格审查应主要审查潜在投标人或者投标人是否符合下列条件：（一）具有独立订立合同的权利；（二）具有履行合同的能力，包括专业、技术资格和能力，资金、设备和其他物质设施状况，管理能力，经验、信誉和相应的从业人员；（三）没有处于被责令停业，投标资格被取消，财产被接管、冻结，破产状态；（四）在最近三年内没有骗取中标和严重违约及重大工程质量问题；</w:t>
      </w:r>
      <w:r>
        <w:rPr>
          <w:rFonts w:ascii="Arial" w:hAnsi="Arial" w:eastAsia="Arial" w:cs="Arial"/>
          <w:color w:val="333333"/>
          <w:sz w:val="23"/>
          <w:szCs w:val="23"/>
        </w:rPr>
        <w:t>…</w:t>
      </w:r>
    </w:p>
    <w:p>
      <w:pPr>
        <w:spacing w:after="0" w:line="58" w:lineRule="exact"/>
        <w:rPr>
          <w:color w:val="auto"/>
          <w:sz w:val="20"/>
          <w:szCs w:val="20"/>
        </w:rPr>
      </w:pPr>
    </w:p>
    <w:p>
      <w:pPr>
        <w:spacing w:after="0" w:line="292" w:lineRule="exact"/>
        <w:ind w:left="2440"/>
        <w:rPr>
          <w:color w:val="auto"/>
          <w:sz w:val="20"/>
          <w:szCs w:val="20"/>
        </w:rPr>
      </w:pPr>
      <w:r>
        <w:rPr>
          <w:rFonts w:ascii="Times New Roman" w:hAnsi="Times New Roman" w:eastAsia="Times New Roman" w:cs="Times New Roman"/>
          <w:b/>
          <w:bCs/>
          <w:color w:val="333333"/>
          <w:sz w:val="24"/>
          <w:szCs w:val="24"/>
        </w:rPr>
        <w:t>1</w:t>
      </w:r>
      <w:r>
        <w:rPr>
          <w:rFonts w:ascii="宋体" w:hAnsi="宋体" w:eastAsia="宋体" w:cs="宋体"/>
          <w:b/>
          <w:bCs/>
          <w:color w:val="333333"/>
          <w:sz w:val="24"/>
          <w:szCs w:val="24"/>
        </w:rPr>
        <w:t>、《国务院关于促进市场公平竞争维护市场正常秩序的若干意见》</w:t>
      </w:r>
    </w:p>
    <w:p>
      <w:pPr>
        <w:spacing w:after="0" w:line="268" w:lineRule="exact"/>
        <w:ind w:left="2440"/>
        <w:rPr>
          <w:color w:val="auto"/>
          <w:sz w:val="20"/>
          <w:szCs w:val="20"/>
        </w:rPr>
      </w:pPr>
      <w:r>
        <w:rPr>
          <w:rFonts w:ascii="宋体" w:hAnsi="宋体" w:eastAsia="宋体" w:cs="宋体"/>
          <w:color w:val="333333"/>
          <w:sz w:val="24"/>
          <w:szCs w:val="24"/>
        </w:rPr>
        <w:t>（十五）建立健全守信激励和失信惩戒机制。</w:t>
      </w:r>
      <w:r>
        <w:rPr>
          <w:rFonts w:ascii="Arial" w:hAnsi="Arial" w:eastAsia="Arial" w:cs="Arial"/>
          <w:color w:val="333333"/>
          <w:sz w:val="24"/>
          <w:szCs w:val="24"/>
        </w:rPr>
        <w:t>…</w:t>
      </w:r>
      <w:r>
        <w:rPr>
          <w:rFonts w:ascii="宋体" w:hAnsi="宋体" w:eastAsia="宋体" w:cs="宋体"/>
          <w:color w:val="333333"/>
          <w:sz w:val="24"/>
          <w:szCs w:val="24"/>
        </w:rPr>
        <w:t>对守信主体予以支持和激励，对失信主体在经</w:t>
      </w:r>
    </w:p>
    <w:p>
      <w:pPr>
        <w:spacing w:after="0" w:line="176" w:lineRule="exact"/>
        <w:ind w:left="180"/>
        <w:rPr>
          <w:color w:val="auto"/>
          <w:sz w:val="20"/>
          <w:szCs w:val="20"/>
        </w:rPr>
      </w:pPr>
      <w:r>
        <w:rPr>
          <w:rFonts w:ascii="Times New Roman" w:hAnsi="Times New Roman" w:eastAsia="Times New Roman" w:cs="Times New Roman"/>
          <w:color w:val="333333"/>
          <w:sz w:val="19"/>
          <w:szCs w:val="19"/>
        </w:rPr>
        <w:t>6</w:t>
      </w:r>
      <w:r>
        <w:rPr>
          <w:rFonts w:ascii="宋体" w:hAnsi="宋体" w:eastAsia="宋体" w:cs="宋体"/>
          <w:color w:val="333333"/>
          <w:sz w:val="19"/>
          <w:szCs w:val="19"/>
        </w:rPr>
        <w:t>、对失信主体</w:t>
      </w:r>
    </w:p>
    <w:p>
      <w:pPr>
        <w:spacing w:after="0" w:line="175" w:lineRule="exact"/>
        <w:ind w:left="1960"/>
        <w:rPr>
          <w:color w:val="auto"/>
          <w:sz w:val="20"/>
          <w:szCs w:val="20"/>
        </w:rPr>
      </w:pPr>
      <w:r>
        <w:rPr>
          <w:rFonts w:ascii="宋体" w:hAnsi="宋体" w:eastAsia="宋体" w:cs="宋体"/>
          <w:color w:val="333333"/>
          <w:sz w:val="20"/>
          <w:szCs w:val="20"/>
        </w:rPr>
        <w:t>营、投融资、取得政府供应土地、进出口、出入境、注册新公司、工程招投标、政府采购、获得荣</w:t>
      </w:r>
    </w:p>
    <w:p>
      <w:pPr>
        <w:spacing w:after="0" w:line="175" w:lineRule="exact"/>
        <w:ind w:left="180"/>
        <w:rPr>
          <w:color w:val="auto"/>
          <w:sz w:val="20"/>
          <w:szCs w:val="20"/>
        </w:rPr>
      </w:pPr>
      <w:r>
        <w:rPr>
          <w:rFonts w:ascii="宋体" w:hAnsi="宋体" w:eastAsia="宋体" w:cs="宋体"/>
          <w:color w:val="333333"/>
          <w:sz w:val="20"/>
          <w:szCs w:val="20"/>
        </w:rPr>
        <w:t>在取得政府供</w:t>
      </w:r>
    </w:p>
    <w:p>
      <w:pPr>
        <w:tabs>
          <w:tab w:val="left" w:pos="1180"/>
        </w:tabs>
        <w:spacing w:after="0" w:line="176" w:lineRule="exact"/>
        <w:ind w:right="178"/>
        <w:jc w:val="right"/>
        <w:rPr>
          <w:color w:val="auto"/>
          <w:sz w:val="20"/>
          <w:szCs w:val="20"/>
        </w:rPr>
      </w:pPr>
      <w:r>
        <w:rPr>
          <w:rFonts w:ascii="宋体" w:hAnsi="宋体" w:eastAsia="宋体" w:cs="宋体"/>
          <w:color w:val="333333"/>
          <w:sz w:val="20"/>
          <w:szCs w:val="20"/>
        </w:rPr>
        <w:t>誉、安全许可、生产许可、从业任职资格、资质审核等方面依法予以限制或禁止，对严重违法失信</w:t>
      </w:r>
      <w:r>
        <w:rPr>
          <w:rFonts w:ascii="宋体" w:hAnsi="宋体" w:eastAsia="宋体" w:cs="宋体"/>
          <w:color w:val="333333"/>
          <w:sz w:val="20"/>
          <w:szCs w:val="20"/>
        </w:rPr>
        <w:tab/>
      </w:r>
      <w:r>
        <w:rPr>
          <w:rFonts w:ascii="宋体" w:hAnsi="宋体" w:eastAsia="宋体" w:cs="宋体"/>
          <w:color w:val="333333"/>
          <w:sz w:val="20"/>
          <w:szCs w:val="20"/>
        </w:rPr>
        <w:t>国土资源部</w:t>
      </w:r>
    </w:p>
    <w:p>
      <w:pPr>
        <w:spacing w:after="0" w:line="175" w:lineRule="exact"/>
        <w:ind w:left="180"/>
        <w:rPr>
          <w:color w:val="auto"/>
          <w:sz w:val="20"/>
          <w:szCs w:val="20"/>
        </w:rPr>
      </w:pPr>
      <w:r>
        <w:rPr>
          <w:rFonts w:ascii="宋体" w:hAnsi="宋体" w:eastAsia="宋体" w:cs="宋体"/>
          <w:color w:val="333333"/>
          <w:sz w:val="20"/>
          <w:szCs w:val="20"/>
        </w:rPr>
        <w:t>应土地方面依</w:t>
      </w:r>
    </w:p>
    <w:p>
      <w:pPr>
        <w:spacing w:after="0" w:line="175" w:lineRule="exact"/>
        <w:ind w:left="1960"/>
        <w:rPr>
          <w:color w:val="auto"/>
          <w:sz w:val="20"/>
          <w:szCs w:val="20"/>
        </w:rPr>
      </w:pPr>
      <w:r>
        <w:rPr>
          <w:rFonts w:ascii="宋体" w:hAnsi="宋体" w:eastAsia="宋体" w:cs="宋体"/>
          <w:color w:val="333333"/>
          <w:sz w:val="20"/>
          <w:szCs w:val="20"/>
        </w:rPr>
        <w:t>主体实行市场禁入制度。</w:t>
      </w:r>
    </w:p>
    <w:p>
      <w:pPr>
        <w:spacing w:after="0" w:line="176" w:lineRule="exact"/>
        <w:ind w:left="180"/>
        <w:rPr>
          <w:color w:val="auto"/>
          <w:sz w:val="20"/>
          <w:szCs w:val="20"/>
        </w:rPr>
      </w:pPr>
      <w:r>
        <w:rPr>
          <w:rFonts w:ascii="宋体" w:hAnsi="宋体" w:eastAsia="宋体" w:cs="宋体"/>
          <w:color w:val="333333"/>
          <w:sz w:val="20"/>
          <w:szCs w:val="20"/>
        </w:rPr>
        <w:t>法予以限制。</w:t>
      </w:r>
    </w:p>
    <w:p>
      <w:pPr>
        <w:spacing w:after="0" w:line="284" w:lineRule="exact"/>
        <w:ind w:left="2440"/>
        <w:rPr>
          <w:color w:val="auto"/>
          <w:sz w:val="20"/>
          <w:szCs w:val="20"/>
        </w:rPr>
      </w:pPr>
      <w:r>
        <w:rPr>
          <w:rFonts w:ascii="Times New Roman" w:hAnsi="Times New Roman" w:eastAsia="Times New Roman" w:cs="Times New Roman"/>
          <w:b/>
          <w:bCs/>
          <w:color w:val="333333"/>
          <w:sz w:val="24"/>
          <w:szCs w:val="24"/>
        </w:rPr>
        <w:t>2</w:t>
      </w:r>
      <w:r>
        <w:rPr>
          <w:rFonts w:ascii="宋体" w:hAnsi="宋体" w:eastAsia="宋体" w:cs="宋体"/>
          <w:b/>
          <w:bCs/>
          <w:color w:val="333333"/>
          <w:sz w:val="24"/>
          <w:szCs w:val="24"/>
        </w:rPr>
        <w:t>、《国务院办公厅关于运用大数据加强对市场主体服务和监管的若干意见》</w:t>
      </w:r>
    </w:p>
    <w:p>
      <w:pPr>
        <w:spacing w:after="0" w:line="46" w:lineRule="exact"/>
        <w:rPr>
          <w:color w:val="auto"/>
          <w:sz w:val="20"/>
          <w:szCs w:val="20"/>
        </w:rPr>
      </w:pPr>
    </w:p>
    <w:p>
      <w:pPr>
        <w:spacing w:after="0" w:line="291" w:lineRule="exact"/>
        <w:ind w:left="2440"/>
        <w:rPr>
          <w:color w:val="auto"/>
          <w:sz w:val="20"/>
          <w:szCs w:val="20"/>
        </w:rPr>
      </w:pPr>
      <w:r>
        <w:rPr>
          <w:rFonts w:ascii="宋体" w:hAnsi="宋体" w:eastAsia="宋体" w:cs="宋体"/>
          <w:color w:val="333333"/>
          <w:sz w:val="24"/>
          <w:szCs w:val="24"/>
        </w:rPr>
        <w:t>（十三）建立健全失信联合惩戒机制。</w:t>
      </w:r>
      <w:r>
        <w:rPr>
          <w:rFonts w:ascii="Arial" w:hAnsi="Arial" w:eastAsia="Arial" w:cs="Arial"/>
          <w:color w:val="333333"/>
          <w:sz w:val="24"/>
          <w:szCs w:val="24"/>
        </w:rPr>
        <w:t>…</w:t>
      </w:r>
      <w:r>
        <w:rPr>
          <w:rFonts w:ascii="宋体" w:hAnsi="宋体" w:eastAsia="宋体" w:cs="宋体"/>
          <w:color w:val="333333"/>
          <w:sz w:val="24"/>
          <w:szCs w:val="24"/>
        </w:rPr>
        <w:t>充分发挥行政、司法、金融、社会等领域的综合监管</w:t>
      </w:r>
    </w:p>
    <w:p>
      <w:pPr>
        <w:sectPr>
          <w:pgSz w:w="16840" w:h="11906" w:orient="landscape"/>
          <w:pgMar w:top="1440" w:right="1440" w:bottom="808" w:left="1440" w:header="0" w:footer="0" w:gutter="0"/>
          <w:cols w:equalWidth="0" w:num="1">
            <w:col w:w="13958"/>
          </w:cols>
        </w:sectPr>
      </w:pPr>
    </w:p>
    <w:p>
      <w:pPr>
        <w:spacing w:after="0" w:line="387" w:lineRule="exact"/>
        <w:rPr>
          <w:color w:val="auto"/>
          <w:sz w:val="20"/>
          <w:szCs w:val="20"/>
        </w:rPr>
      </w:pPr>
    </w:p>
    <w:p>
      <w:pPr>
        <w:spacing w:after="0"/>
        <w:ind w:right="-1"/>
        <w:jc w:val="center"/>
        <w:rPr>
          <w:color w:val="auto"/>
          <w:sz w:val="20"/>
          <w:szCs w:val="20"/>
        </w:rPr>
      </w:pPr>
      <w:r>
        <w:rPr>
          <w:rFonts w:ascii="Times New Roman" w:hAnsi="Times New Roman" w:eastAsia="Times New Roman" w:cs="Times New Roman"/>
          <w:color w:val="auto"/>
          <w:sz w:val="24"/>
          <w:szCs w:val="24"/>
        </w:rPr>
        <w:t>5</w:t>
      </w:r>
    </w:p>
    <w:p>
      <w:pPr>
        <w:sectPr>
          <w:type w:val="continuous"/>
          <w:pgSz w:w="16840" w:h="11906" w:orient="landscape"/>
          <w:pgMar w:top="1440" w:right="1440" w:bottom="808" w:left="1440" w:header="0" w:footer="0" w:gutter="0"/>
          <w:cols w:equalWidth="0" w:num="1">
            <w:col w:w="13958"/>
          </w:cols>
        </w:sectPr>
      </w:pPr>
    </w:p>
    <w:p>
      <w:pPr>
        <w:spacing w:after="0" w:line="368" w:lineRule="exact"/>
        <w:rPr>
          <w:color w:val="auto"/>
          <w:sz w:val="20"/>
          <w:szCs w:val="20"/>
        </w:rPr>
      </w:pPr>
      <w:bookmarkStart w:id="4" w:name="page12"/>
      <w:bookmarkEnd w:id="4"/>
      <w:r>
        <w:rPr>
          <w:color w:val="auto"/>
          <w:sz w:val="20"/>
          <w:szCs w:val="20"/>
        </w:rPr>
        <w:drawing>
          <wp:anchor distT="0" distB="0" distL="114300" distR="114300" simplePos="0" relativeHeight="251658240" behindDoc="1" locked="0" layoutInCell="0" allowOverlap="1">
            <wp:simplePos x="0" y="0"/>
            <wp:positionH relativeFrom="page">
              <wp:posOffset>954405</wp:posOffset>
            </wp:positionH>
            <wp:positionV relativeFrom="page">
              <wp:posOffset>1116330</wp:posOffset>
            </wp:positionV>
            <wp:extent cx="8783320" cy="5138420"/>
            <wp:effectExtent l="0" t="0" r="10160" b="127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a:xfrm>
                      <a:off x="0" y="0"/>
                      <a:ext cx="8783320" cy="5138420"/>
                    </a:xfrm>
                    <a:prstGeom prst="rect">
                      <a:avLst/>
                    </a:prstGeom>
                    <a:noFill/>
                  </pic:spPr>
                </pic:pic>
              </a:graphicData>
            </a:graphic>
          </wp:anchor>
        </w:drawing>
      </w:r>
    </w:p>
    <w:p>
      <w:pPr>
        <w:spacing w:after="0" w:line="337" w:lineRule="exact"/>
        <w:ind w:left="1960" w:right="1598"/>
        <w:jc w:val="both"/>
        <w:rPr>
          <w:color w:val="auto"/>
          <w:sz w:val="20"/>
          <w:szCs w:val="20"/>
        </w:rPr>
      </w:pPr>
      <w:r>
        <w:rPr>
          <w:rFonts w:ascii="宋体" w:hAnsi="宋体" w:eastAsia="宋体" w:cs="宋体"/>
          <w:color w:val="333333"/>
          <w:sz w:val="24"/>
          <w:szCs w:val="24"/>
        </w:rPr>
        <w:t>效能，在市场准入、行政审批、资质认定、享受财政补贴和税收优惠政策、企业法定代表人和负责人任职资格审查、政府采购、政府购买服务、银行信贷、招标投标、国有土地出让、企业上市、货物通关、税收征缴、社保缴费、外汇管理、劳动用工、价格制定、电子商务、产品质量、食品药品安全、消费品安全、知识产权、环境保护、治安管理、人口管理、出入境管理、授予荣誉称号等方面，建立跨部门联动响应和失信约束机制，对违法失信主体依法予以限制或禁入。建立各行业</w:t>
      </w:r>
      <w:r>
        <w:rPr>
          <w:rFonts w:ascii="Arial" w:hAnsi="Arial" w:eastAsia="Arial" w:cs="Arial"/>
          <w:color w:val="333333"/>
          <w:sz w:val="24"/>
          <w:szCs w:val="24"/>
        </w:rPr>
        <w:t>“</w:t>
      </w:r>
      <w:r>
        <w:rPr>
          <w:rFonts w:ascii="宋体" w:hAnsi="宋体" w:eastAsia="宋体" w:cs="宋体"/>
          <w:color w:val="333333"/>
          <w:sz w:val="24"/>
          <w:szCs w:val="24"/>
        </w:rPr>
        <w:t>黑名单</w:t>
      </w:r>
      <w:r>
        <w:rPr>
          <w:rFonts w:ascii="Arial" w:hAnsi="Arial" w:eastAsia="Arial" w:cs="Arial"/>
          <w:color w:val="333333"/>
          <w:sz w:val="24"/>
          <w:szCs w:val="24"/>
        </w:rPr>
        <w:t>”</w:t>
      </w:r>
      <w:r>
        <w:rPr>
          <w:rFonts w:ascii="宋体" w:hAnsi="宋体" w:eastAsia="宋体" w:cs="宋体"/>
          <w:color w:val="333333"/>
          <w:sz w:val="24"/>
          <w:szCs w:val="24"/>
        </w:rPr>
        <w:t>制度和市场退出机制。推动将申请人良好的信用状况作为各类行政许可的必备条件。</w:t>
      </w:r>
    </w:p>
    <w:p>
      <w:pPr>
        <w:spacing w:after="0" w:line="50" w:lineRule="exact"/>
        <w:rPr>
          <w:color w:val="auto"/>
          <w:sz w:val="20"/>
          <w:szCs w:val="20"/>
        </w:rPr>
      </w:pPr>
    </w:p>
    <w:p>
      <w:pPr>
        <w:spacing w:after="0" w:line="292" w:lineRule="exact"/>
        <w:ind w:left="2440"/>
        <w:rPr>
          <w:color w:val="auto"/>
          <w:sz w:val="20"/>
          <w:szCs w:val="20"/>
        </w:rPr>
      </w:pPr>
      <w:r>
        <w:rPr>
          <w:rFonts w:ascii="Times New Roman" w:hAnsi="Times New Roman" w:eastAsia="Times New Roman" w:cs="Times New Roman"/>
          <w:b/>
          <w:bCs/>
          <w:color w:val="333333"/>
          <w:sz w:val="24"/>
          <w:szCs w:val="24"/>
        </w:rPr>
        <w:t>3</w:t>
      </w:r>
      <w:r>
        <w:rPr>
          <w:rFonts w:ascii="宋体" w:hAnsi="宋体" w:eastAsia="宋体" w:cs="宋体"/>
          <w:b/>
          <w:bCs/>
          <w:color w:val="333333"/>
          <w:sz w:val="24"/>
          <w:szCs w:val="24"/>
        </w:rPr>
        <w:t>、《企业信息公示暂行条例》</w:t>
      </w:r>
    </w:p>
    <w:p>
      <w:pPr>
        <w:spacing w:after="0" w:line="95" w:lineRule="exact"/>
        <w:rPr>
          <w:color w:val="auto"/>
          <w:sz w:val="20"/>
          <w:szCs w:val="20"/>
        </w:rPr>
      </w:pPr>
    </w:p>
    <w:p>
      <w:pPr>
        <w:spacing w:after="0" w:line="323" w:lineRule="exact"/>
        <w:ind w:left="1960" w:right="1598" w:firstLine="480"/>
        <w:jc w:val="both"/>
        <w:rPr>
          <w:color w:val="auto"/>
          <w:sz w:val="20"/>
          <w:szCs w:val="20"/>
        </w:rPr>
      </w:pPr>
      <w:r>
        <w:rPr>
          <w:rFonts w:ascii="宋体" w:hAnsi="宋体" w:eastAsia="宋体" w:cs="宋体"/>
          <w:color w:val="333333"/>
          <w:sz w:val="24"/>
          <w:szCs w:val="24"/>
        </w:rPr>
        <w:t>第十八条 县级以上地方人民政府及其有关部门应当建立健全信用约束机制，在政府采购、工程招投标、国有土地出让、授予荣誉称号等工作中，将企业信息作为重要考量因素，对被列入经营异常名录或者严重违法企业名单的企业依法予以限制或者禁入。</w:t>
      </w:r>
    </w:p>
    <w:p>
      <w:pPr>
        <w:spacing w:after="0" w:line="58" w:lineRule="exact"/>
        <w:rPr>
          <w:color w:val="auto"/>
          <w:sz w:val="20"/>
          <w:szCs w:val="20"/>
        </w:rPr>
      </w:pPr>
    </w:p>
    <w:p>
      <w:pPr>
        <w:spacing w:after="0" w:line="292" w:lineRule="exact"/>
        <w:ind w:left="2440"/>
        <w:rPr>
          <w:color w:val="auto"/>
          <w:sz w:val="20"/>
          <w:szCs w:val="20"/>
        </w:rPr>
      </w:pPr>
      <w:r>
        <w:rPr>
          <w:rFonts w:ascii="Times New Roman" w:hAnsi="Times New Roman" w:eastAsia="Times New Roman" w:cs="Times New Roman"/>
          <w:b/>
          <w:bCs/>
          <w:color w:val="333333"/>
          <w:sz w:val="24"/>
          <w:szCs w:val="24"/>
        </w:rPr>
        <w:t>1</w:t>
      </w:r>
      <w:r>
        <w:rPr>
          <w:rFonts w:ascii="宋体" w:hAnsi="宋体" w:eastAsia="宋体" w:cs="宋体"/>
          <w:b/>
          <w:bCs/>
          <w:color w:val="333333"/>
          <w:sz w:val="24"/>
          <w:szCs w:val="24"/>
        </w:rPr>
        <w:t>、《国务院办公厅关于运用大数据加强对市场主体服务和监管的若干意见》</w:t>
      </w:r>
    </w:p>
    <w:p>
      <w:pPr>
        <w:spacing w:after="0" w:line="93" w:lineRule="exact"/>
        <w:rPr>
          <w:color w:val="auto"/>
          <w:sz w:val="20"/>
          <w:szCs w:val="20"/>
        </w:rPr>
      </w:pPr>
    </w:p>
    <w:p>
      <w:pPr>
        <w:spacing w:after="0" w:line="310" w:lineRule="exact"/>
        <w:ind w:left="1960" w:right="1598" w:firstLine="480"/>
        <w:jc w:val="both"/>
        <w:rPr>
          <w:color w:val="auto"/>
          <w:sz w:val="20"/>
          <w:szCs w:val="20"/>
        </w:rPr>
      </w:pPr>
      <w:r>
        <w:rPr>
          <w:rFonts w:ascii="宋体" w:hAnsi="宋体" w:eastAsia="宋体" w:cs="宋体"/>
          <w:color w:val="333333"/>
          <w:sz w:val="24"/>
          <w:szCs w:val="24"/>
        </w:rPr>
        <w:t>（十三）建立健全失信联合惩戒机制。</w:t>
      </w:r>
      <w:r>
        <w:rPr>
          <w:rFonts w:ascii="Arial" w:hAnsi="Arial" w:eastAsia="Arial" w:cs="Arial"/>
          <w:color w:val="333333"/>
          <w:sz w:val="24"/>
          <w:szCs w:val="24"/>
        </w:rPr>
        <w:t>…</w:t>
      </w:r>
      <w:r>
        <w:rPr>
          <w:rFonts w:ascii="宋体" w:hAnsi="宋体" w:eastAsia="宋体" w:cs="宋体"/>
          <w:color w:val="333333"/>
          <w:sz w:val="24"/>
          <w:szCs w:val="24"/>
        </w:rPr>
        <w:t>充分发挥行政、司法、金融、社会等领域的综合监管效能，在市场准入、行政审批、资质认定、享受财政补贴和税收优惠政策、企业法定代表人和负责</w:t>
      </w:r>
    </w:p>
    <w:p>
      <w:pPr>
        <w:spacing w:after="0" w:line="82" w:lineRule="exact"/>
        <w:rPr>
          <w:color w:val="auto"/>
          <w:sz w:val="20"/>
          <w:szCs w:val="20"/>
        </w:rPr>
      </w:pPr>
    </w:p>
    <w:p>
      <w:pPr>
        <w:spacing w:after="0" w:line="330" w:lineRule="exact"/>
        <w:ind w:left="180" w:right="178" w:firstLine="1786"/>
        <w:jc w:val="both"/>
        <w:rPr>
          <w:color w:val="auto"/>
          <w:sz w:val="20"/>
          <w:szCs w:val="20"/>
        </w:rPr>
      </w:pPr>
      <w:r>
        <w:rPr>
          <w:rFonts w:ascii="宋体" w:hAnsi="宋体" w:eastAsia="宋体" w:cs="宋体"/>
          <w:color w:val="333333"/>
          <w:sz w:val="24"/>
          <w:szCs w:val="24"/>
        </w:rPr>
        <w:t>人任职资格审查、政府采购、政府购买服务、银行信贷、招标投标、国有土地出让、企业上市、货 国家发展改</w:t>
      </w:r>
      <w:r>
        <w:rPr>
          <w:rFonts w:ascii="Times New Roman" w:hAnsi="Times New Roman" w:eastAsia="Times New Roman" w:cs="Times New Roman"/>
          <w:color w:val="333333"/>
          <w:sz w:val="24"/>
          <w:szCs w:val="24"/>
        </w:rPr>
        <w:t>7</w:t>
      </w:r>
      <w:r>
        <w:rPr>
          <w:rFonts w:ascii="宋体" w:hAnsi="宋体" w:eastAsia="宋体" w:cs="宋体"/>
          <w:color w:val="333333"/>
          <w:sz w:val="24"/>
          <w:szCs w:val="24"/>
        </w:rPr>
        <w:t>、在财政补贴 物通关、税收征缴、社保缴费、外汇管理、劳动用工、价格制定、电子商务、产品质量、食品药品 革委、财政资金安排过程 安全、消费品安全、知识产权、环境保护、治安管理、人口管理、出入境管理、授予荣誉称号等方 部、人力资中，将失信信息 面，建立跨部门联动响应和失信约束机制，对违法失信主体依法予以限制或禁入。建立各行业</w:t>
      </w:r>
      <w:r>
        <w:rPr>
          <w:rFonts w:ascii="Arial" w:hAnsi="Arial" w:eastAsia="Arial" w:cs="Arial"/>
          <w:color w:val="333333"/>
          <w:sz w:val="24"/>
          <w:szCs w:val="24"/>
        </w:rPr>
        <w:t>“</w:t>
      </w:r>
      <w:r>
        <w:rPr>
          <w:rFonts w:ascii="宋体" w:hAnsi="宋体" w:eastAsia="宋体" w:cs="宋体"/>
          <w:color w:val="333333"/>
          <w:sz w:val="24"/>
          <w:szCs w:val="24"/>
        </w:rPr>
        <w:t>黑 源社会保障</w:t>
      </w:r>
    </w:p>
    <w:p>
      <w:pPr>
        <w:spacing w:after="0" w:line="61" w:lineRule="exact"/>
        <w:rPr>
          <w:color w:val="auto"/>
          <w:sz w:val="20"/>
          <w:szCs w:val="20"/>
        </w:rPr>
      </w:pPr>
    </w:p>
    <w:p>
      <w:pPr>
        <w:tabs>
          <w:tab w:val="left" w:pos="1940"/>
          <w:tab w:val="left" w:pos="12560"/>
        </w:tabs>
        <w:spacing w:after="0" w:line="291" w:lineRule="exact"/>
        <w:ind w:left="180"/>
        <w:rPr>
          <w:color w:val="auto"/>
          <w:sz w:val="20"/>
          <w:szCs w:val="20"/>
        </w:rPr>
      </w:pPr>
      <w:r>
        <w:rPr>
          <w:rFonts w:ascii="宋体" w:hAnsi="宋体" w:eastAsia="宋体" w:cs="宋体"/>
          <w:color w:val="333333"/>
          <w:sz w:val="24"/>
          <w:szCs w:val="24"/>
        </w:rPr>
        <w:t>作为审核的重</w:t>
      </w:r>
      <w:r>
        <w:rPr>
          <w:color w:val="auto"/>
          <w:sz w:val="20"/>
          <w:szCs w:val="20"/>
        </w:rPr>
        <w:tab/>
      </w:r>
      <w:r>
        <w:rPr>
          <w:rFonts w:ascii="宋体" w:hAnsi="宋体" w:eastAsia="宋体" w:cs="宋体"/>
          <w:color w:val="333333"/>
          <w:sz w:val="24"/>
          <w:szCs w:val="24"/>
        </w:rPr>
        <w:t>名单</w:t>
      </w:r>
      <w:r>
        <w:rPr>
          <w:rFonts w:ascii="Arial" w:hAnsi="Arial" w:eastAsia="Arial" w:cs="Arial"/>
          <w:color w:val="333333"/>
          <w:sz w:val="24"/>
          <w:szCs w:val="24"/>
        </w:rPr>
        <w:t>”</w:t>
      </w:r>
      <w:r>
        <w:rPr>
          <w:rFonts w:ascii="宋体" w:hAnsi="宋体" w:eastAsia="宋体" w:cs="宋体"/>
          <w:color w:val="333333"/>
          <w:sz w:val="24"/>
          <w:szCs w:val="24"/>
        </w:rPr>
        <w:t>制度和市场退出机制。推动将申请人良好的信用状况作为各类行政许可的必备条件。</w:t>
      </w:r>
      <w:r>
        <w:rPr>
          <w:color w:val="auto"/>
          <w:sz w:val="20"/>
          <w:szCs w:val="20"/>
        </w:rPr>
        <w:tab/>
      </w:r>
      <w:r>
        <w:rPr>
          <w:rFonts w:ascii="宋体" w:hAnsi="宋体" w:eastAsia="宋体" w:cs="宋体"/>
          <w:color w:val="333333"/>
          <w:sz w:val="23"/>
          <w:szCs w:val="23"/>
        </w:rPr>
        <w:t>部、交通运</w:t>
      </w:r>
    </w:p>
    <w:p>
      <w:pPr>
        <w:spacing w:after="0" w:line="49" w:lineRule="exact"/>
        <w:rPr>
          <w:color w:val="auto"/>
          <w:sz w:val="20"/>
          <w:szCs w:val="20"/>
        </w:rPr>
      </w:pPr>
    </w:p>
    <w:p>
      <w:pPr>
        <w:tabs>
          <w:tab w:val="left" w:pos="2420"/>
        </w:tabs>
        <w:spacing w:after="0" w:line="327" w:lineRule="exact"/>
        <w:ind w:left="2440" w:right="178" w:hanging="2259"/>
        <w:jc w:val="both"/>
        <w:rPr>
          <w:color w:val="auto"/>
          <w:sz w:val="20"/>
          <w:szCs w:val="20"/>
        </w:rPr>
      </w:pPr>
      <w:r>
        <w:rPr>
          <w:rFonts w:ascii="宋体" w:hAnsi="宋体" w:eastAsia="宋体" w:cs="宋体"/>
          <w:color w:val="333333"/>
          <w:sz w:val="23"/>
          <w:szCs w:val="23"/>
        </w:rPr>
        <w:t>要参考。</w:t>
      </w:r>
      <w:r>
        <w:rPr>
          <w:color w:val="auto"/>
          <w:sz w:val="20"/>
          <w:szCs w:val="20"/>
        </w:rPr>
        <w:tab/>
      </w:r>
      <w:r>
        <w:rPr>
          <w:rFonts w:ascii="Times New Roman" w:hAnsi="Times New Roman" w:eastAsia="Times New Roman" w:cs="Times New Roman"/>
          <w:b/>
          <w:bCs/>
          <w:color w:val="333333"/>
          <w:sz w:val="23"/>
          <w:szCs w:val="23"/>
        </w:rPr>
        <w:t>2</w:t>
      </w:r>
      <w:r>
        <w:rPr>
          <w:rFonts w:ascii="宋体" w:hAnsi="宋体" w:eastAsia="宋体" w:cs="宋体"/>
          <w:b/>
          <w:bCs/>
          <w:color w:val="333333"/>
          <w:sz w:val="23"/>
          <w:szCs w:val="23"/>
        </w:rPr>
        <w:t>、《国务院关于建立完善守信联合激励和失信联合惩戒制度加快推进社会诚信建设的指导意见</w:t>
      </w:r>
      <w:r>
        <w:rPr>
          <w:rFonts w:ascii="宋体" w:hAnsi="宋体" w:eastAsia="宋体" w:cs="宋体"/>
          <w:color w:val="333333"/>
          <w:sz w:val="23"/>
          <w:szCs w:val="23"/>
        </w:rPr>
        <w:t>》 输部、国务（十）依法依规加强对失信行为的行政性约束和惩戒。对严重失信主体，各地区、各有关部门 院国资委等</w:t>
      </w:r>
    </w:p>
    <w:p>
      <w:pPr>
        <w:spacing w:after="0" w:line="82" w:lineRule="exact"/>
        <w:rPr>
          <w:color w:val="auto"/>
          <w:sz w:val="20"/>
          <w:szCs w:val="20"/>
        </w:rPr>
      </w:pPr>
    </w:p>
    <w:p>
      <w:pPr>
        <w:spacing w:after="0" w:line="310" w:lineRule="exact"/>
        <w:ind w:left="1960" w:right="418"/>
        <w:rPr>
          <w:color w:val="auto"/>
          <w:sz w:val="20"/>
          <w:szCs w:val="20"/>
        </w:rPr>
      </w:pPr>
      <w:r>
        <w:rPr>
          <w:rFonts w:ascii="宋体" w:hAnsi="宋体" w:eastAsia="宋体" w:cs="宋体"/>
          <w:color w:val="333333"/>
          <w:sz w:val="24"/>
          <w:szCs w:val="24"/>
        </w:rPr>
        <w:t>应将其列为重点监管对象，依法依规采取行政性约束和惩戒措施。</w:t>
      </w:r>
      <w:r>
        <w:rPr>
          <w:rFonts w:ascii="Arial" w:hAnsi="Arial" w:eastAsia="Arial" w:cs="Arial"/>
          <w:color w:val="333333"/>
          <w:sz w:val="24"/>
          <w:szCs w:val="24"/>
        </w:rPr>
        <w:t>…</w:t>
      </w:r>
      <w:r>
        <w:rPr>
          <w:rFonts w:ascii="宋体" w:hAnsi="宋体" w:eastAsia="宋体" w:cs="宋体"/>
          <w:color w:val="333333"/>
          <w:sz w:val="24"/>
          <w:szCs w:val="24"/>
        </w:rPr>
        <w:t>严格限制申请财政性资金项目， 相关部门限制参与有关公共资源交易活动，限制参与基础设施和公用事业特许经营。</w:t>
      </w:r>
    </w:p>
    <w:p>
      <w:pPr>
        <w:spacing w:after="0" w:line="76" w:lineRule="exact"/>
        <w:rPr>
          <w:color w:val="auto"/>
          <w:sz w:val="20"/>
          <w:szCs w:val="20"/>
        </w:rPr>
      </w:pPr>
    </w:p>
    <w:p>
      <w:pPr>
        <w:spacing w:after="0"/>
        <w:ind w:left="2440"/>
        <w:rPr>
          <w:color w:val="auto"/>
          <w:sz w:val="20"/>
          <w:szCs w:val="20"/>
        </w:rPr>
      </w:pPr>
      <w:r>
        <w:rPr>
          <w:rFonts w:ascii="Arial" w:hAnsi="Arial" w:eastAsia="Arial" w:cs="Arial"/>
          <w:color w:val="333333"/>
          <w:sz w:val="24"/>
          <w:szCs w:val="24"/>
        </w:rPr>
        <w:t>…</w:t>
      </w:r>
    </w:p>
    <w:p>
      <w:pPr>
        <w:sectPr>
          <w:pgSz w:w="16840" w:h="11906" w:orient="landscape"/>
          <w:pgMar w:top="1440" w:right="1440" w:bottom="808" w:left="1440" w:header="0" w:footer="0" w:gutter="0"/>
          <w:cols w:equalWidth="0" w:num="1">
            <w:col w:w="13958"/>
          </w:cols>
        </w:sectPr>
      </w:pPr>
    </w:p>
    <w:p>
      <w:pPr>
        <w:spacing w:after="0" w:line="200" w:lineRule="exact"/>
        <w:rPr>
          <w:color w:val="auto"/>
          <w:sz w:val="20"/>
          <w:szCs w:val="20"/>
        </w:rPr>
      </w:pPr>
    </w:p>
    <w:p>
      <w:pPr>
        <w:spacing w:after="0" w:line="257" w:lineRule="exact"/>
        <w:rPr>
          <w:color w:val="auto"/>
          <w:sz w:val="20"/>
          <w:szCs w:val="20"/>
        </w:rPr>
      </w:pPr>
    </w:p>
    <w:p>
      <w:pPr>
        <w:spacing w:after="0"/>
        <w:ind w:right="-1"/>
        <w:jc w:val="center"/>
        <w:rPr>
          <w:color w:val="auto"/>
          <w:sz w:val="20"/>
          <w:szCs w:val="20"/>
        </w:rPr>
      </w:pPr>
      <w:r>
        <w:rPr>
          <w:rFonts w:ascii="Times New Roman" w:hAnsi="Times New Roman" w:eastAsia="Times New Roman" w:cs="Times New Roman"/>
          <w:color w:val="auto"/>
          <w:sz w:val="24"/>
          <w:szCs w:val="24"/>
        </w:rPr>
        <w:t>6</w:t>
      </w:r>
    </w:p>
    <w:p>
      <w:pPr>
        <w:sectPr>
          <w:type w:val="continuous"/>
          <w:pgSz w:w="16840" w:h="11906" w:orient="landscape"/>
          <w:pgMar w:top="1440" w:right="1440" w:bottom="808" w:left="1440" w:header="0" w:footer="0" w:gutter="0"/>
          <w:cols w:equalWidth="0" w:num="1">
            <w:col w:w="13958"/>
          </w:cols>
        </w:sectPr>
      </w:pPr>
    </w:p>
    <w:p>
      <w:pPr>
        <w:spacing w:after="0" w:line="298" w:lineRule="exact"/>
        <w:rPr>
          <w:color w:val="auto"/>
          <w:sz w:val="20"/>
          <w:szCs w:val="20"/>
        </w:rPr>
      </w:pPr>
      <w:bookmarkStart w:id="5" w:name="page13"/>
      <w:bookmarkEnd w:id="5"/>
    </w:p>
    <w:tbl>
      <w:tblPr>
        <w:tblStyle w:val="2"/>
        <w:tblW w:w="0" w:type="auto"/>
        <w:tblInd w:w="70" w:type="dxa"/>
        <w:tblLayout w:type="fixed"/>
        <w:tblCellMar>
          <w:top w:w="0" w:type="dxa"/>
          <w:left w:w="0" w:type="dxa"/>
          <w:bottom w:w="0" w:type="dxa"/>
          <w:right w:w="0" w:type="dxa"/>
        </w:tblCellMar>
      </w:tblPr>
      <w:tblGrid>
        <w:gridCol w:w="1800"/>
        <w:gridCol w:w="10620"/>
        <w:gridCol w:w="1420"/>
        <w:gridCol w:w="360"/>
      </w:tblGrid>
      <w:tr>
        <w:tblPrEx>
          <w:tblCellMar>
            <w:top w:w="0" w:type="dxa"/>
            <w:left w:w="0" w:type="dxa"/>
            <w:bottom w:w="0" w:type="dxa"/>
            <w:right w:w="0" w:type="dxa"/>
          </w:tblCellMar>
        </w:tblPrEx>
        <w:trPr>
          <w:trHeight w:val="333" w:hRule="atLeast"/>
        </w:trPr>
        <w:tc>
          <w:tcPr>
            <w:tcW w:w="1800" w:type="dxa"/>
            <w:tcBorders>
              <w:top w:val="single" w:color="auto" w:sz="8" w:space="0"/>
              <w:left w:val="single" w:color="auto" w:sz="8" w:space="0"/>
              <w:right w:val="single" w:color="auto" w:sz="8" w:space="0"/>
            </w:tcBorders>
            <w:vAlign w:val="bottom"/>
          </w:tcPr>
          <w:p>
            <w:pPr>
              <w:spacing w:after="0"/>
              <w:rPr>
                <w:color w:val="auto"/>
                <w:sz w:val="24"/>
                <w:szCs w:val="24"/>
              </w:rPr>
            </w:pPr>
          </w:p>
        </w:tc>
        <w:tc>
          <w:tcPr>
            <w:tcW w:w="10620" w:type="dxa"/>
            <w:tcBorders>
              <w:top w:val="single" w:color="auto" w:sz="8" w:space="0"/>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333333"/>
                <w:sz w:val="24"/>
                <w:szCs w:val="24"/>
              </w:rPr>
              <w:t>1</w:t>
            </w:r>
            <w:r>
              <w:rPr>
                <w:rFonts w:ascii="宋体" w:hAnsi="宋体" w:eastAsia="宋体" w:cs="宋体"/>
                <w:b/>
                <w:bCs/>
                <w:color w:val="333333"/>
                <w:sz w:val="24"/>
                <w:szCs w:val="24"/>
              </w:rPr>
              <w:t>、《国务院关于印发社会信用体系建设规划纲要（</w:t>
            </w:r>
            <w:r>
              <w:rPr>
                <w:rFonts w:ascii="Times New Roman" w:hAnsi="Times New Roman" w:eastAsia="Times New Roman" w:cs="Times New Roman"/>
                <w:b/>
                <w:bCs/>
                <w:color w:val="333333"/>
                <w:sz w:val="24"/>
                <w:szCs w:val="24"/>
              </w:rPr>
              <w:t xml:space="preserve">2014-2020 </w:t>
            </w:r>
            <w:r>
              <w:rPr>
                <w:rFonts w:ascii="宋体" w:hAnsi="宋体" w:eastAsia="宋体" w:cs="宋体"/>
                <w:b/>
                <w:bCs/>
                <w:color w:val="333333"/>
                <w:sz w:val="24"/>
                <w:szCs w:val="24"/>
              </w:rPr>
              <w:t>年）的通知》</w:t>
            </w:r>
          </w:p>
        </w:tc>
        <w:tc>
          <w:tcPr>
            <w:tcW w:w="1420" w:type="dxa"/>
            <w:tcBorders>
              <w:top w:val="single" w:color="auto" w:sz="8" w:space="0"/>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36"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333333"/>
                <w:sz w:val="24"/>
                <w:szCs w:val="24"/>
              </w:rPr>
              <w:t>第二部分 推进重点领域诚信建设</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333333"/>
                <w:sz w:val="24"/>
                <w:szCs w:val="24"/>
              </w:rPr>
              <w:t>（一）加快推进政务诚信建设。</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91" w:lineRule="exact"/>
              <w:ind w:left="580"/>
              <w:rPr>
                <w:color w:val="auto"/>
                <w:sz w:val="20"/>
                <w:szCs w:val="20"/>
              </w:rPr>
            </w:pPr>
            <w:r>
              <w:rPr>
                <w:rFonts w:ascii="Arial" w:hAnsi="Arial" w:eastAsia="Arial" w:cs="Arial"/>
                <w:color w:val="333333"/>
                <w:sz w:val="24"/>
                <w:szCs w:val="24"/>
              </w:rPr>
              <w:t>…</w:t>
            </w:r>
            <w:r>
              <w:rPr>
                <w:rFonts w:ascii="宋体" w:hAnsi="宋体" w:eastAsia="宋体" w:cs="宋体"/>
                <w:color w:val="333333"/>
                <w:sz w:val="24"/>
                <w:szCs w:val="24"/>
              </w:rPr>
              <w:t>发挥政府诚信建设示范作用。各级人民政府首先要加强自身诚信建设，以政府的诚信施政，</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带动全社会诚信意识的树立和诚信水平的提高。在行政许可、政府采购、招标投标、劳动就业、社</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3"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会保障、科研管理、干部选拔任用和管理监督、申请政府资金支持等领域，率先使用信用信息和信</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48" w:hRule="atLeast"/>
        </w:trPr>
        <w:tc>
          <w:tcPr>
            <w:tcW w:w="1800" w:type="dxa"/>
            <w:vMerge w:val="restart"/>
            <w:tcBorders>
              <w:left w:val="single" w:color="auto" w:sz="8" w:space="0"/>
              <w:right w:val="single" w:color="auto" w:sz="8" w:space="0"/>
            </w:tcBorders>
            <w:vAlign w:val="bottom"/>
          </w:tcPr>
          <w:p>
            <w:pPr>
              <w:spacing w:after="0" w:line="292" w:lineRule="exact"/>
              <w:ind w:left="120"/>
              <w:rPr>
                <w:color w:val="auto"/>
                <w:sz w:val="20"/>
                <w:szCs w:val="20"/>
              </w:rPr>
            </w:pPr>
            <w:r>
              <w:rPr>
                <w:rFonts w:ascii="Times New Roman" w:hAnsi="Times New Roman" w:eastAsia="Times New Roman" w:cs="Times New Roman"/>
                <w:color w:val="333333"/>
                <w:sz w:val="24"/>
                <w:szCs w:val="24"/>
              </w:rPr>
              <w:t>8</w:t>
            </w:r>
            <w:r>
              <w:rPr>
                <w:rFonts w:ascii="宋体" w:hAnsi="宋体" w:eastAsia="宋体" w:cs="宋体"/>
                <w:color w:val="333333"/>
                <w:sz w:val="24"/>
                <w:szCs w:val="24"/>
              </w:rPr>
              <w:t>、对失信主体</w:t>
            </w:r>
          </w:p>
        </w:tc>
        <w:tc>
          <w:tcPr>
            <w:tcW w:w="10620" w:type="dxa"/>
            <w:tcBorders>
              <w:right w:val="single" w:color="auto" w:sz="8" w:space="0"/>
            </w:tcBorders>
            <w:vAlign w:val="bottom"/>
          </w:tcPr>
          <w:p>
            <w:pPr>
              <w:spacing w:after="0" w:line="291" w:lineRule="exact"/>
              <w:ind w:left="100"/>
              <w:rPr>
                <w:color w:val="auto"/>
                <w:sz w:val="20"/>
                <w:szCs w:val="20"/>
              </w:rPr>
            </w:pPr>
            <w:r>
              <w:rPr>
                <w:rFonts w:ascii="宋体" w:hAnsi="宋体" w:eastAsia="宋体" w:cs="宋体"/>
                <w:color w:val="333333"/>
                <w:sz w:val="24"/>
                <w:szCs w:val="24"/>
              </w:rPr>
              <w:t>用产品，培育信用服务市场发展。</w:t>
            </w:r>
            <w:r>
              <w:rPr>
                <w:rFonts w:ascii="Arial" w:hAnsi="Arial" w:eastAsia="Arial" w:cs="Arial"/>
                <w:color w:val="333333"/>
                <w:sz w:val="24"/>
                <w:szCs w:val="24"/>
              </w:rPr>
              <w:t>…</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89" w:hRule="atLeast"/>
        </w:trPr>
        <w:tc>
          <w:tcPr>
            <w:tcW w:w="1800" w:type="dxa"/>
            <w:vMerge w:val="continue"/>
            <w:tcBorders>
              <w:left w:val="single" w:color="auto" w:sz="8" w:space="0"/>
              <w:right w:val="single" w:color="auto" w:sz="8" w:space="0"/>
            </w:tcBorders>
            <w:vAlign w:val="bottom"/>
          </w:tcPr>
          <w:p>
            <w:pPr>
              <w:spacing w:after="0"/>
              <w:rPr>
                <w:color w:val="auto"/>
                <w:sz w:val="16"/>
                <w:szCs w:val="16"/>
              </w:rPr>
            </w:pPr>
          </w:p>
        </w:tc>
        <w:tc>
          <w:tcPr>
            <w:tcW w:w="10620" w:type="dxa"/>
            <w:vMerge w:val="restart"/>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333333"/>
                <w:sz w:val="24"/>
                <w:szCs w:val="24"/>
              </w:rPr>
              <w:t>（二）深入推进商务诚信建设。</w:t>
            </w:r>
          </w:p>
        </w:tc>
        <w:tc>
          <w:tcPr>
            <w:tcW w:w="1420" w:type="dxa"/>
            <w:tcBorders>
              <w:right w:val="single" w:color="auto" w:sz="8" w:space="0"/>
            </w:tcBorders>
            <w:vAlign w:val="bottom"/>
          </w:tcPr>
          <w:p>
            <w:pPr>
              <w:spacing w:after="0"/>
              <w:rPr>
                <w:color w:val="auto"/>
                <w:sz w:val="16"/>
                <w:szCs w:val="16"/>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64" w:hRule="atLeast"/>
        </w:trPr>
        <w:tc>
          <w:tcPr>
            <w:tcW w:w="1800" w:type="dxa"/>
            <w:vMerge w:val="restart"/>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在申请取得认</w:t>
            </w:r>
          </w:p>
        </w:tc>
        <w:tc>
          <w:tcPr>
            <w:tcW w:w="10620" w:type="dxa"/>
            <w:vMerge w:val="continue"/>
            <w:tcBorders>
              <w:right w:val="single" w:color="auto" w:sz="8" w:space="0"/>
            </w:tcBorders>
            <w:vAlign w:val="bottom"/>
          </w:tcPr>
          <w:p>
            <w:pPr>
              <w:spacing w:after="0"/>
              <w:rPr>
                <w:color w:val="auto"/>
                <w:sz w:val="14"/>
                <w:szCs w:val="14"/>
              </w:rPr>
            </w:pPr>
          </w:p>
        </w:tc>
        <w:tc>
          <w:tcPr>
            <w:tcW w:w="1420" w:type="dxa"/>
            <w:tcBorders>
              <w:right w:val="single" w:color="auto" w:sz="8" w:space="0"/>
            </w:tcBorders>
            <w:vAlign w:val="bottom"/>
          </w:tcPr>
          <w:p>
            <w:pPr>
              <w:spacing w:after="0"/>
              <w:rPr>
                <w:color w:val="auto"/>
                <w:sz w:val="14"/>
                <w:szCs w:val="1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3" w:hRule="atLeast"/>
        </w:trPr>
        <w:tc>
          <w:tcPr>
            <w:tcW w:w="1800" w:type="dxa"/>
            <w:vMerge w:val="continue"/>
            <w:tcBorders>
              <w:left w:val="single" w:color="auto" w:sz="8" w:space="0"/>
              <w:right w:val="single" w:color="auto" w:sz="8" w:space="0"/>
            </w:tcBorders>
            <w:vAlign w:val="bottom"/>
          </w:tcPr>
          <w:p>
            <w:pPr>
              <w:spacing w:after="0"/>
              <w:rPr>
                <w:color w:val="auto"/>
                <w:sz w:val="15"/>
                <w:szCs w:val="15"/>
              </w:rPr>
            </w:pPr>
          </w:p>
        </w:tc>
        <w:tc>
          <w:tcPr>
            <w:tcW w:w="10620" w:type="dxa"/>
            <w:vMerge w:val="restart"/>
            <w:tcBorders>
              <w:right w:val="single" w:color="auto" w:sz="8" w:space="0"/>
            </w:tcBorders>
            <w:vAlign w:val="bottom"/>
          </w:tcPr>
          <w:p>
            <w:pPr>
              <w:spacing w:after="0" w:line="291" w:lineRule="exact"/>
              <w:ind w:left="580"/>
              <w:rPr>
                <w:color w:val="auto"/>
                <w:sz w:val="20"/>
                <w:szCs w:val="20"/>
              </w:rPr>
            </w:pPr>
            <w:r>
              <w:rPr>
                <w:rFonts w:ascii="Arial" w:hAnsi="Arial" w:eastAsia="Arial" w:cs="Arial"/>
                <w:color w:val="333333"/>
                <w:sz w:val="24"/>
                <w:szCs w:val="24"/>
              </w:rPr>
              <w:t>…</w:t>
            </w:r>
            <w:r>
              <w:rPr>
                <w:rFonts w:ascii="宋体" w:hAnsi="宋体" w:eastAsia="宋体" w:cs="宋体"/>
                <w:color w:val="333333"/>
                <w:sz w:val="24"/>
                <w:szCs w:val="24"/>
              </w:rPr>
              <w:t>中介服务业信用建设。建立完善中介服务机构及其从业人员的信用记录和披露制度，并作为</w:t>
            </w:r>
          </w:p>
        </w:tc>
        <w:tc>
          <w:tcPr>
            <w:tcW w:w="1420" w:type="dxa"/>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8" w:hRule="atLeast"/>
        </w:trPr>
        <w:tc>
          <w:tcPr>
            <w:tcW w:w="1800" w:type="dxa"/>
            <w:vMerge w:val="restart"/>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w w:val="97"/>
                <w:sz w:val="24"/>
                <w:szCs w:val="24"/>
              </w:rPr>
              <w:t>证机构资质、获</w:t>
            </w:r>
          </w:p>
        </w:tc>
        <w:tc>
          <w:tcPr>
            <w:tcW w:w="10620" w:type="dxa"/>
            <w:vMerge w:val="continue"/>
            <w:tcBorders>
              <w:right w:val="single" w:color="auto" w:sz="8" w:space="0"/>
            </w:tcBorders>
            <w:vAlign w:val="bottom"/>
          </w:tcPr>
          <w:p>
            <w:pPr>
              <w:spacing w:after="0"/>
              <w:rPr>
                <w:color w:val="auto"/>
                <w:sz w:val="15"/>
                <w:szCs w:val="15"/>
              </w:rPr>
            </w:pPr>
          </w:p>
        </w:tc>
        <w:tc>
          <w:tcPr>
            <w:tcW w:w="1420" w:type="dxa"/>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3" w:hRule="atLeast"/>
        </w:trPr>
        <w:tc>
          <w:tcPr>
            <w:tcW w:w="1800" w:type="dxa"/>
            <w:vMerge w:val="continue"/>
            <w:tcBorders>
              <w:left w:val="single" w:color="auto" w:sz="8" w:space="0"/>
              <w:right w:val="single" w:color="auto" w:sz="8" w:space="0"/>
            </w:tcBorders>
            <w:vAlign w:val="bottom"/>
          </w:tcPr>
          <w:p>
            <w:pPr>
              <w:spacing w:after="0"/>
              <w:rPr>
                <w:color w:val="auto"/>
                <w:sz w:val="15"/>
                <w:szCs w:val="15"/>
              </w:rPr>
            </w:pPr>
          </w:p>
        </w:tc>
        <w:tc>
          <w:tcPr>
            <w:tcW w:w="10620" w:type="dxa"/>
            <w:vMerge w:val="restart"/>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w w:val="99"/>
                <w:sz w:val="24"/>
                <w:szCs w:val="24"/>
              </w:rPr>
              <w:t>市场行政执法部门实施信用分类管理的重要依据。重点加强公证仲裁类、律师类、会计类、担保类、</w:t>
            </w:r>
          </w:p>
        </w:tc>
        <w:tc>
          <w:tcPr>
            <w:tcW w:w="1420" w:type="dxa"/>
            <w:vMerge w:val="restart"/>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质检总局</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8" w:hRule="atLeast"/>
        </w:trPr>
        <w:tc>
          <w:tcPr>
            <w:tcW w:w="1800" w:type="dxa"/>
            <w:vMerge w:val="restart"/>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得认证证书方</w:t>
            </w:r>
          </w:p>
        </w:tc>
        <w:tc>
          <w:tcPr>
            <w:tcW w:w="10620" w:type="dxa"/>
            <w:vMerge w:val="continue"/>
            <w:tcBorders>
              <w:right w:val="single" w:color="auto" w:sz="8" w:space="0"/>
            </w:tcBorders>
            <w:vAlign w:val="bottom"/>
          </w:tcPr>
          <w:p>
            <w:pPr>
              <w:spacing w:after="0"/>
              <w:rPr>
                <w:color w:val="auto"/>
                <w:sz w:val="15"/>
                <w:szCs w:val="15"/>
              </w:rPr>
            </w:pPr>
          </w:p>
        </w:tc>
        <w:tc>
          <w:tcPr>
            <w:tcW w:w="1420" w:type="dxa"/>
            <w:vMerge w:val="continue"/>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3" w:hRule="atLeast"/>
        </w:trPr>
        <w:tc>
          <w:tcPr>
            <w:tcW w:w="1800" w:type="dxa"/>
            <w:vMerge w:val="continue"/>
            <w:tcBorders>
              <w:left w:val="single" w:color="auto" w:sz="8" w:space="0"/>
              <w:right w:val="single" w:color="auto" w:sz="8" w:space="0"/>
            </w:tcBorders>
            <w:vAlign w:val="bottom"/>
          </w:tcPr>
          <w:p>
            <w:pPr>
              <w:spacing w:after="0"/>
              <w:rPr>
                <w:color w:val="auto"/>
                <w:sz w:val="15"/>
                <w:szCs w:val="15"/>
              </w:rPr>
            </w:pPr>
          </w:p>
        </w:tc>
        <w:tc>
          <w:tcPr>
            <w:tcW w:w="10620" w:type="dxa"/>
            <w:vMerge w:val="restart"/>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鉴证类、检验检测类、评估类、认证类、代理类、经纪类、职业介绍类、咨询类、交易类等机构信</w:t>
            </w:r>
          </w:p>
        </w:tc>
        <w:tc>
          <w:tcPr>
            <w:tcW w:w="1420" w:type="dxa"/>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8" w:hRule="atLeast"/>
        </w:trPr>
        <w:tc>
          <w:tcPr>
            <w:tcW w:w="1800" w:type="dxa"/>
            <w:vMerge w:val="restart"/>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面依法予以限</w:t>
            </w:r>
          </w:p>
        </w:tc>
        <w:tc>
          <w:tcPr>
            <w:tcW w:w="10620" w:type="dxa"/>
            <w:vMerge w:val="continue"/>
            <w:tcBorders>
              <w:right w:val="single" w:color="auto" w:sz="8" w:space="0"/>
            </w:tcBorders>
            <w:vAlign w:val="bottom"/>
          </w:tcPr>
          <w:p>
            <w:pPr>
              <w:spacing w:after="0"/>
              <w:rPr>
                <w:color w:val="auto"/>
                <w:sz w:val="15"/>
                <w:szCs w:val="15"/>
              </w:rPr>
            </w:pPr>
          </w:p>
        </w:tc>
        <w:tc>
          <w:tcPr>
            <w:tcW w:w="1420" w:type="dxa"/>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5" w:hRule="atLeast"/>
        </w:trPr>
        <w:tc>
          <w:tcPr>
            <w:tcW w:w="1800" w:type="dxa"/>
            <w:vMerge w:val="continue"/>
            <w:tcBorders>
              <w:left w:val="single" w:color="auto" w:sz="8" w:space="0"/>
              <w:right w:val="single" w:color="auto" w:sz="8" w:space="0"/>
            </w:tcBorders>
            <w:vAlign w:val="bottom"/>
          </w:tcPr>
          <w:p>
            <w:pPr>
              <w:spacing w:after="0"/>
              <w:rPr>
                <w:color w:val="auto"/>
                <w:sz w:val="15"/>
                <w:szCs w:val="15"/>
              </w:rPr>
            </w:pPr>
          </w:p>
        </w:tc>
        <w:tc>
          <w:tcPr>
            <w:tcW w:w="10620" w:type="dxa"/>
            <w:vMerge w:val="restart"/>
            <w:tcBorders>
              <w:right w:val="single" w:color="auto" w:sz="8" w:space="0"/>
            </w:tcBorders>
            <w:vAlign w:val="bottom"/>
          </w:tcPr>
          <w:p>
            <w:pPr>
              <w:spacing w:after="0" w:line="291" w:lineRule="exact"/>
              <w:ind w:left="100"/>
              <w:rPr>
                <w:color w:val="auto"/>
                <w:sz w:val="20"/>
                <w:szCs w:val="20"/>
              </w:rPr>
            </w:pPr>
            <w:r>
              <w:rPr>
                <w:rFonts w:ascii="宋体" w:hAnsi="宋体" w:eastAsia="宋体" w:cs="宋体"/>
                <w:color w:val="333333"/>
                <w:sz w:val="24"/>
                <w:szCs w:val="24"/>
              </w:rPr>
              <w:t>用分类管理，探索建立科学合理的评估指标体系、评估制度和工作机制。</w:t>
            </w:r>
            <w:r>
              <w:rPr>
                <w:rFonts w:ascii="Arial" w:hAnsi="Arial" w:eastAsia="Arial" w:cs="Arial"/>
                <w:color w:val="333333"/>
                <w:sz w:val="24"/>
                <w:szCs w:val="24"/>
              </w:rPr>
              <w:t>…</w:t>
            </w:r>
          </w:p>
        </w:tc>
        <w:tc>
          <w:tcPr>
            <w:tcW w:w="1420" w:type="dxa"/>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5" w:hRule="atLeast"/>
        </w:trPr>
        <w:tc>
          <w:tcPr>
            <w:tcW w:w="1800" w:type="dxa"/>
            <w:vMerge w:val="restart"/>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制。</w:t>
            </w:r>
          </w:p>
        </w:tc>
        <w:tc>
          <w:tcPr>
            <w:tcW w:w="10620" w:type="dxa"/>
            <w:vMerge w:val="continue"/>
            <w:tcBorders>
              <w:right w:val="single" w:color="auto" w:sz="8" w:space="0"/>
            </w:tcBorders>
            <w:vAlign w:val="bottom"/>
          </w:tcPr>
          <w:p>
            <w:pPr>
              <w:spacing w:after="0"/>
              <w:rPr>
                <w:color w:val="auto"/>
                <w:sz w:val="15"/>
                <w:szCs w:val="15"/>
              </w:rPr>
            </w:pPr>
          </w:p>
        </w:tc>
        <w:tc>
          <w:tcPr>
            <w:tcW w:w="1420" w:type="dxa"/>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5" w:hRule="atLeast"/>
        </w:trPr>
        <w:tc>
          <w:tcPr>
            <w:tcW w:w="1800" w:type="dxa"/>
            <w:vMerge w:val="continue"/>
            <w:tcBorders>
              <w:left w:val="single" w:color="auto" w:sz="8" w:space="0"/>
              <w:right w:val="single" w:color="auto" w:sz="8" w:space="0"/>
            </w:tcBorders>
            <w:vAlign w:val="bottom"/>
          </w:tcPr>
          <w:p>
            <w:pPr>
              <w:spacing w:after="0"/>
              <w:rPr>
                <w:color w:val="auto"/>
                <w:sz w:val="15"/>
                <w:szCs w:val="15"/>
              </w:rPr>
            </w:pPr>
          </w:p>
        </w:tc>
        <w:tc>
          <w:tcPr>
            <w:tcW w:w="10620" w:type="dxa"/>
            <w:vMerge w:val="restart"/>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333333"/>
                <w:sz w:val="24"/>
                <w:szCs w:val="24"/>
              </w:rPr>
              <w:t>2</w:t>
            </w:r>
            <w:r>
              <w:rPr>
                <w:rFonts w:ascii="宋体" w:hAnsi="宋体" w:eastAsia="宋体" w:cs="宋体"/>
                <w:b/>
                <w:bCs/>
                <w:color w:val="333333"/>
                <w:sz w:val="24"/>
                <w:szCs w:val="24"/>
              </w:rPr>
              <w:t>、《国务院关于促进市场公平竞争维护市场正常秩序的若干意见》</w:t>
            </w:r>
          </w:p>
        </w:tc>
        <w:tc>
          <w:tcPr>
            <w:tcW w:w="1420" w:type="dxa"/>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89" w:hRule="atLeast"/>
        </w:trPr>
        <w:tc>
          <w:tcPr>
            <w:tcW w:w="1800" w:type="dxa"/>
            <w:tcBorders>
              <w:left w:val="single" w:color="auto" w:sz="8" w:space="0"/>
              <w:right w:val="single" w:color="auto" w:sz="8" w:space="0"/>
            </w:tcBorders>
            <w:vAlign w:val="bottom"/>
          </w:tcPr>
          <w:p>
            <w:pPr>
              <w:spacing w:after="0"/>
              <w:rPr>
                <w:color w:val="auto"/>
                <w:sz w:val="16"/>
                <w:szCs w:val="16"/>
              </w:rPr>
            </w:pPr>
          </w:p>
        </w:tc>
        <w:tc>
          <w:tcPr>
            <w:tcW w:w="10620" w:type="dxa"/>
            <w:vMerge w:val="continue"/>
            <w:tcBorders>
              <w:right w:val="single" w:color="auto" w:sz="8" w:space="0"/>
            </w:tcBorders>
            <w:vAlign w:val="bottom"/>
          </w:tcPr>
          <w:p>
            <w:pPr>
              <w:spacing w:after="0"/>
              <w:rPr>
                <w:color w:val="auto"/>
                <w:sz w:val="16"/>
                <w:szCs w:val="16"/>
              </w:rPr>
            </w:pPr>
          </w:p>
        </w:tc>
        <w:tc>
          <w:tcPr>
            <w:tcW w:w="1420" w:type="dxa"/>
            <w:tcBorders>
              <w:right w:val="single" w:color="auto" w:sz="8" w:space="0"/>
            </w:tcBorders>
            <w:vAlign w:val="bottom"/>
          </w:tcPr>
          <w:p>
            <w:pPr>
              <w:spacing w:after="0"/>
              <w:rPr>
                <w:color w:val="auto"/>
                <w:sz w:val="16"/>
                <w:szCs w:val="16"/>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36"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91" w:lineRule="exact"/>
              <w:ind w:left="580"/>
              <w:rPr>
                <w:color w:val="auto"/>
                <w:sz w:val="20"/>
                <w:szCs w:val="20"/>
              </w:rPr>
            </w:pPr>
            <w:r>
              <w:rPr>
                <w:rFonts w:ascii="宋体" w:hAnsi="宋体" w:eastAsia="宋体" w:cs="宋体"/>
                <w:color w:val="333333"/>
                <w:sz w:val="24"/>
                <w:szCs w:val="24"/>
              </w:rPr>
              <w:t>（十五）建立健全守信激励和失信惩戒机制。</w:t>
            </w:r>
            <w:r>
              <w:rPr>
                <w:rFonts w:ascii="Arial" w:hAnsi="Arial" w:eastAsia="Arial" w:cs="Arial"/>
                <w:color w:val="333333"/>
                <w:sz w:val="24"/>
                <w:szCs w:val="24"/>
              </w:rPr>
              <w:t>…</w:t>
            </w:r>
            <w:r>
              <w:rPr>
                <w:rFonts w:ascii="宋体" w:hAnsi="宋体" w:eastAsia="宋体" w:cs="宋体"/>
                <w:color w:val="333333"/>
                <w:sz w:val="24"/>
                <w:szCs w:val="24"/>
              </w:rPr>
              <w:t>对守信主体予以支持和激励，对失信主体在经</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营、投融资、取得政府供应土地、进出口、出入境、注册新公司、工程招投标、政府采购、获得荣</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誉、安全许可、生产许可、从业任职资格、资质审核等方面依法予以限制或禁止，对严重违法失信</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3"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主体实行市场禁入制度。</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64"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333333"/>
                <w:sz w:val="24"/>
                <w:szCs w:val="24"/>
              </w:rPr>
              <w:t>3</w:t>
            </w:r>
            <w:r>
              <w:rPr>
                <w:rFonts w:ascii="宋体" w:hAnsi="宋体" w:eastAsia="宋体" w:cs="宋体"/>
                <w:b/>
                <w:bCs/>
                <w:color w:val="333333"/>
                <w:sz w:val="24"/>
                <w:szCs w:val="24"/>
              </w:rPr>
              <w:t>、《中华人民共和国认证认可条例》</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36"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333333"/>
                <w:sz w:val="24"/>
                <w:szCs w:val="24"/>
              </w:rPr>
              <w:t>第六条 认证认可活动应当遵循客观独立、公开公正、诚实信用的原则。</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41" w:hRule="atLeast"/>
        </w:trPr>
        <w:tc>
          <w:tcPr>
            <w:tcW w:w="180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10620" w:type="dxa"/>
            <w:tcBorders>
              <w:bottom w:val="single" w:color="auto" w:sz="8" w:space="0"/>
              <w:right w:val="single" w:color="auto" w:sz="8" w:space="0"/>
            </w:tcBorders>
            <w:vAlign w:val="bottom"/>
          </w:tcPr>
          <w:p>
            <w:pPr>
              <w:spacing w:after="0"/>
              <w:rPr>
                <w:color w:val="auto"/>
                <w:sz w:val="3"/>
                <w:szCs w:val="3"/>
              </w:rPr>
            </w:pPr>
          </w:p>
        </w:tc>
        <w:tc>
          <w:tcPr>
            <w:tcW w:w="1420" w:type="dxa"/>
            <w:tcBorders>
              <w:bottom w:val="single" w:color="auto" w:sz="8" w:space="0"/>
              <w:right w:val="single" w:color="auto" w:sz="8" w:space="0"/>
            </w:tcBorders>
            <w:vAlign w:val="bottom"/>
          </w:tcPr>
          <w:p>
            <w:pPr>
              <w:spacing w:after="0"/>
              <w:rPr>
                <w:color w:val="auto"/>
                <w:sz w:val="3"/>
                <w:szCs w:val="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13" w:hRule="atLeast"/>
        </w:trPr>
        <w:tc>
          <w:tcPr>
            <w:tcW w:w="1800" w:type="dxa"/>
            <w:vMerge w:val="restart"/>
            <w:tcBorders>
              <w:left w:val="single" w:color="auto" w:sz="8" w:space="0"/>
              <w:right w:val="single" w:color="auto" w:sz="8" w:space="0"/>
            </w:tcBorders>
            <w:vAlign w:val="bottom"/>
          </w:tcPr>
          <w:p>
            <w:pPr>
              <w:spacing w:after="0" w:line="292" w:lineRule="exact"/>
              <w:ind w:left="120"/>
              <w:rPr>
                <w:color w:val="auto"/>
                <w:sz w:val="20"/>
                <w:szCs w:val="20"/>
              </w:rPr>
            </w:pPr>
            <w:r>
              <w:rPr>
                <w:rFonts w:ascii="Times New Roman" w:hAnsi="Times New Roman" w:eastAsia="Times New Roman" w:cs="Times New Roman"/>
                <w:color w:val="333333"/>
                <w:sz w:val="24"/>
                <w:szCs w:val="24"/>
              </w:rPr>
              <w:t>9</w:t>
            </w:r>
            <w:r>
              <w:rPr>
                <w:rFonts w:ascii="宋体" w:hAnsi="宋体" w:eastAsia="宋体" w:cs="宋体"/>
                <w:color w:val="333333"/>
                <w:sz w:val="24"/>
                <w:szCs w:val="24"/>
              </w:rPr>
              <w:t>、将失信主体</w:t>
            </w:r>
          </w:p>
        </w:tc>
        <w:tc>
          <w:tcPr>
            <w:tcW w:w="1062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333333"/>
                <w:sz w:val="24"/>
                <w:szCs w:val="24"/>
              </w:rPr>
              <w:t>1</w:t>
            </w:r>
            <w:r>
              <w:rPr>
                <w:rFonts w:ascii="宋体" w:hAnsi="宋体" w:eastAsia="宋体" w:cs="宋体"/>
                <w:b/>
                <w:bCs/>
                <w:color w:val="333333"/>
                <w:sz w:val="24"/>
                <w:szCs w:val="24"/>
              </w:rPr>
              <w:t>、《国家税务总局关于发布〈纳税信用管理办法（试行）〉的公告》</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36" w:hRule="atLeast"/>
        </w:trPr>
        <w:tc>
          <w:tcPr>
            <w:tcW w:w="1800" w:type="dxa"/>
            <w:vMerge w:val="continue"/>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91" w:lineRule="exact"/>
              <w:ind w:left="580"/>
              <w:rPr>
                <w:color w:val="auto"/>
                <w:sz w:val="20"/>
                <w:szCs w:val="20"/>
              </w:rPr>
            </w:pPr>
            <w:r>
              <w:rPr>
                <w:rFonts w:ascii="宋体" w:hAnsi="宋体" w:eastAsia="宋体" w:cs="宋体"/>
                <w:color w:val="333333"/>
                <w:sz w:val="24"/>
                <w:szCs w:val="24"/>
              </w:rPr>
              <w:t>第十条 纳税信用信息包括纳税人信用历史信息、税务内部信息、外部信息。</w:t>
            </w:r>
            <w:r>
              <w:rPr>
                <w:rFonts w:ascii="Arial" w:hAnsi="Arial" w:eastAsia="Arial" w:cs="Arial"/>
                <w:color w:val="333333"/>
                <w:sz w:val="24"/>
                <w:szCs w:val="24"/>
              </w:rPr>
              <w:t>…</w:t>
            </w:r>
            <w:r>
              <w:rPr>
                <w:rFonts w:ascii="宋体" w:hAnsi="宋体" w:eastAsia="宋体" w:cs="宋体"/>
                <w:color w:val="333333"/>
                <w:sz w:val="24"/>
                <w:szCs w:val="24"/>
              </w:rPr>
              <w:t>外部信息包括外</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的信用状况作</w:t>
            </w:r>
          </w:p>
        </w:tc>
        <w:tc>
          <w:tcPr>
            <w:tcW w:w="1062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部参考信息和外部评价信息。外部参考信息包括评价年度相关部门评定的优良信用记录和不良信用</w:t>
            </w:r>
          </w:p>
        </w:tc>
        <w:tc>
          <w:tcPr>
            <w:tcW w:w="142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税务总局</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为税务部门评</w:t>
            </w:r>
          </w:p>
        </w:tc>
        <w:tc>
          <w:tcPr>
            <w:tcW w:w="1062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记录；外部评价信息是指从相关部门取得的影响纳税人纳税信用评价的指标信息。</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价其纳税信用</w:t>
            </w:r>
          </w:p>
        </w:tc>
        <w:tc>
          <w:tcPr>
            <w:tcW w:w="1062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333333"/>
                <w:sz w:val="24"/>
                <w:szCs w:val="24"/>
              </w:rPr>
              <w:t>第十四条 本办法第十条第四款外部信息主要通过税务管理系统、国家统一信用信息平台、相关</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40" w:hRule="atLeast"/>
        </w:trPr>
        <w:tc>
          <w:tcPr>
            <w:tcW w:w="180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10620" w:type="dxa"/>
            <w:tcBorders>
              <w:bottom w:val="single" w:color="auto" w:sz="8" w:space="0"/>
              <w:right w:val="single" w:color="auto" w:sz="8" w:space="0"/>
            </w:tcBorders>
            <w:vAlign w:val="bottom"/>
          </w:tcPr>
          <w:p>
            <w:pPr>
              <w:spacing w:after="0"/>
              <w:rPr>
                <w:color w:val="auto"/>
                <w:sz w:val="3"/>
                <w:szCs w:val="3"/>
              </w:rPr>
            </w:pPr>
          </w:p>
        </w:tc>
        <w:tc>
          <w:tcPr>
            <w:tcW w:w="1420" w:type="dxa"/>
            <w:tcBorders>
              <w:bottom w:val="single" w:color="auto" w:sz="8" w:space="0"/>
              <w:right w:val="single" w:color="auto" w:sz="8" w:space="0"/>
            </w:tcBorders>
            <w:vAlign w:val="bottom"/>
          </w:tcPr>
          <w:p>
            <w:pPr>
              <w:spacing w:after="0"/>
              <w:rPr>
                <w:color w:val="auto"/>
                <w:sz w:val="3"/>
                <w:szCs w:val="3"/>
              </w:rPr>
            </w:pPr>
          </w:p>
        </w:tc>
        <w:tc>
          <w:tcPr>
            <w:tcW w:w="0" w:type="dxa"/>
            <w:vAlign w:val="bottom"/>
          </w:tcPr>
          <w:p>
            <w:pPr>
              <w:spacing w:after="0"/>
              <w:rPr>
                <w:color w:val="auto"/>
                <w:sz w:val="1"/>
                <w:szCs w:val="1"/>
              </w:rPr>
            </w:pPr>
          </w:p>
        </w:tc>
      </w:tr>
    </w:tbl>
    <w:p>
      <w:pPr>
        <w:spacing w:after="0" w:line="57" w:lineRule="exact"/>
        <w:rPr>
          <w:color w:val="auto"/>
          <w:sz w:val="20"/>
          <w:szCs w:val="20"/>
        </w:rPr>
      </w:pPr>
    </w:p>
    <w:p>
      <w:pPr>
        <w:sectPr>
          <w:pgSz w:w="16840" w:h="11906" w:orient="landscape"/>
          <w:pgMar w:top="1440" w:right="1440" w:bottom="808" w:left="1440" w:header="0" w:footer="0" w:gutter="0"/>
          <w:cols w:equalWidth="0" w:num="1">
            <w:col w:w="13958"/>
          </w:cols>
        </w:sectPr>
      </w:pPr>
    </w:p>
    <w:p>
      <w:pPr>
        <w:spacing w:after="0"/>
        <w:ind w:right="-1"/>
        <w:jc w:val="center"/>
        <w:rPr>
          <w:color w:val="auto"/>
          <w:sz w:val="20"/>
          <w:szCs w:val="20"/>
        </w:rPr>
      </w:pPr>
      <w:r>
        <w:rPr>
          <w:rFonts w:ascii="Times New Roman" w:hAnsi="Times New Roman" w:eastAsia="Times New Roman" w:cs="Times New Roman"/>
          <w:color w:val="auto"/>
          <w:sz w:val="24"/>
          <w:szCs w:val="24"/>
        </w:rPr>
        <w:t>7</w:t>
      </w:r>
    </w:p>
    <w:p>
      <w:pPr>
        <w:sectPr>
          <w:type w:val="continuous"/>
          <w:pgSz w:w="16840" w:h="11906" w:orient="landscape"/>
          <w:pgMar w:top="1440" w:right="1440" w:bottom="808" w:left="1440" w:header="0" w:footer="0" w:gutter="0"/>
          <w:cols w:equalWidth="0" w:num="1">
            <w:col w:w="13958"/>
          </w:cols>
        </w:sectPr>
      </w:pPr>
    </w:p>
    <w:p>
      <w:pPr>
        <w:spacing w:after="0" w:line="298" w:lineRule="exact"/>
        <w:rPr>
          <w:color w:val="auto"/>
          <w:sz w:val="20"/>
          <w:szCs w:val="20"/>
        </w:rPr>
      </w:pPr>
      <w:bookmarkStart w:id="6" w:name="page14"/>
      <w:bookmarkEnd w:id="6"/>
    </w:p>
    <w:tbl>
      <w:tblPr>
        <w:tblStyle w:val="2"/>
        <w:tblW w:w="0" w:type="auto"/>
        <w:tblInd w:w="70" w:type="dxa"/>
        <w:tblLayout w:type="fixed"/>
        <w:tblCellMar>
          <w:top w:w="0" w:type="dxa"/>
          <w:left w:w="0" w:type="dxa"/>
          <w:bottom w:w="0" w:type="dxa"/>
          <w:right w:w="0" w:type="dxa"/>
        </w:tblCellMar>
      </w:tblPr>
      <w:tblGrid>
        <w:gridCol w:w="1800"/>
        <w:gridCol w:w="10620"/>
        <w:gridCol w:w="1420"/>
        <w:gridCol w:w="360"/>
      </w:tblGrid>
      <w:tr>
        <w:tblPrEx>
          <w:tblCellMar>
            <w:top w:w="0" w:type="dxa"/>
            <w:left w:w="0" w:type="dxa"/>
            <w:bottom w:w="0" w:type="dxa"/>
            <w:right w:w="0" w:type="dxa"/>
          </w:tblCellMar>
        </w:tblPrEx>
        <w:trPr>
          <w:trHeight w:val="319" w:hRule="atLeast"/>
        </w:trPr>
        <w:tc>
          <w:tcPr>
            <w:tcW w:w="1800" w:type="dxa"/>
            <w:tcBorders>
              <w:top w:val="single" w:color="auto" w:sz="8" w:space="0"/>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级别的重要参</w:t>
            </w:r>
          </w:p>
        </w:tc>
        <w:tc>
          <w:tcPr>
            <w:tcW w:w="10620" w:type="dxa"/>
            <w:tcBorders>
              <w:top w:val="single" w:color="auto" w:sz="8" w:space="0"/>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部门官方网站、新闻媒体或者媒介等渠道采集。通过新闻媒体或者媒介采集的信息应核实后使用。</w:t>
            </w:r>
          </w:p>
        </w:tc>
        <w:tc>
          <w:tcPr>
            <w:tcW w:w="1420" w:type="dxa"/>
            <w:tcBorders>
              <w:top w:val="single" w:color="auto" w:sz="8" w:space="0"/>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考。</w:t>
            </w:r>
          </w:p>
        </w:tc>
        <w:tc>
          <w:tcPr>
            <w:tcW w:w="1062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333333"/>
                <w:sz w:val="24"/>
                <w:szCs w:val="24"/>
              </w:rPr>
              <w:t>第十五条 纳税信用评价采取年度评价指标得分和直接判级方式。评价指标包括税务内部信息和</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91" w:lineRule="exact"/>
              <w:ind w:left="100"/>
              <w:rPr>
                <w:color w:val="auto"/>
                <w:sz w:val="20"/>
                <w:szCs w:val="20"/>
              </w:rPr>
            </w:pPr>
            <w:r>
              <w:rPr>
                <w:rFonts w:ascii="宋体" w:hAnsi="宋体" w:eastAsia="宋体" w:cs="宋体"/>
                <w:color w:val="333333"/>
                <w:sz w:val="24"/>
                <w:szCs w:val="24"/>
              </w:rPr>
              <w:t>外部评价信息。</w:t>
            </w:r>
            <w:r>
              <w:rPr>
                <w:rFonts w:ascii="Arial" w:hAnsi="Arial" w:eastAsia="Arial" w:cs="Arial"/>
                <w:color w:val="333333"/>
                <w:sz w:val="24"/>
                <w:szCs w:val="24"/>
              </w:rPr>
              <w:t>…</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64"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92" w:lineRule="exact"/>
              <w:ind w:left="580"/>
              <w:rPr>
                <w:color w:val="auto"/>
                <w:sz w:val="20"/>
                <w:szCs w:val="20"/>
              </w:rPr>
            </w:pPr>
            <w:r>
              <w:rPr>
                <w:rFonts w:ascii="宋体" w:hAnsi="宋体" w:eastAsia="宋体" w:cs="宋体"/>
                <w:color w:val="333333"/>
                <w:w w:val="98"/>
                <w:sz w:val="24"/>
                <w:szCs w:val="24"/>
              </w:rPr>
              <w:t>第十八条 纳税信用级别设</w:t>
            </w:r>
            <w:r>
              <w:rPr>
                <w:rFonts w:ascii="Times New Roman" w:hAnsi="Times New Roman" w:eastAsia="Times New Roman" w:cs="Times New Roman"/>
                <w:color w:val="333333"/>
                <w:w w:val="98"/>
                <w:sz w:val="24"/>
                <w:szCs w:val="24"/>
              </w:rPr>
              <w:t xml:space="preserve"> A</w:t>
            </w:r>
            <w:r>
              <w:rPr>
                <w:rFonts w:ascii="宋体" w:hAnsi="宋体" w:eastAsia="宋体" w:cs="宋体"/>
                <w:color w:val="333333"/>
                <w:w w:val="98"/>
                <w:sz w:val="24"/>
                <w:szCs w:val="24"/>
              </w:rPr>
              <w:t>、</w:t>
            </w:r>
            <w:r>
              <w:rPr>
                <w:rFonts w:ascii="Times New Roman" w:hAnsi="Times New Roman" w:eastAsia="Times New Roman" w:cs="Times New Roman"/>
                <w:color w:val="333333"/>
                <w:w w:val="98"/>
                <w:sz w:val="24"/>
                <w:szCs w:val="24"/>
              </w:rPr>
              <w:t>B</w:t>
            </w:r>
            <w:r>
              <w:rPr>
                <w:rFonts w:ascii="宋体" w:hAnsi="宋体" w:eastAsia="宋体" w:cs="宋体"/>
                <w:color w:val="333333"/>
                <w:w w:val="98"/>
                <w:sz w:val="24"/>
                <w:szCs w:val="24"/>
              </w:rPr>
              <w:t>、</w:t>
            </w:r>
            <w:r>
              <w:rPr>
                <w:rFonts w:ascii="Times New Roman" w:hAnsi="Times New Roman" w:eastAsia="Times New Roman" w:cs="Times New Roman"/>
                <w:color w:val="333333"/>
                <w:w w:val="98"/>
                <w:sz w:val="24"/>
                <w:szCs w:val="24"/>
              </w:rPr>
              <w:t>C</w:t>
            </w:r>
            <w:r>
              <w:rPr>
                <w:rFonts w:ascii="宋体" w:hAnsi="宋体" w:eastAsia="宋体" w:cs="宋体"/>
                <w:color w:val="333333"/>
                <w:w w:val="98"/>
                <w:sz w:val="24"/>
                <w:szCs w:val="24"/>
              </w:rPr>
              <w:t>、</w:t>
            </w:r>
            <w:r>
              <w:rPr>
                <w:rFonts w:ascii="Times New Roman" w:hAnsi="Times New Roman" w:eastAsia="Times New Roman" w:cs="Times New Roman"/>
                <w:color w:val="333333"/>
                <w:w w:val="98"/>
                <w:sz w:val="24"/>
                <w:szCs w:val="24"/>
              </w:rPr>
              <w:t xml:space="preserve">D </w:t>
            </w:r>
            <w:r>
              <w:rPr>
                <w:rFonts w:ascii="宋体" w:hAnsi="宋体" w:eastAsia="宋体" w:cs="宋体"/>
                <w:color w:val="333333"/>
                <w:w w:val="98"/>
                <w:sz w:val="24"/>
                <w:szCs w:val="24"/>
              </w:rPr>
              <w:t>四级。</w:t>
            </w:r>
            <w:r>
              <w:rPr>
                <w:rFonts w:ascii="Times New Roman" w:hAnsi="Times New Roman" w:eastAsia="Times New Roman" w:cs="Times New Roman"/>
                <w:color w:val="333333"/>
                <w:w w:val="98"/>
                <w:sz w:val="24"/>
                <w:szCs w:val="24"/>
              </w:rPr>
              <w:t xml:space="preserve">A </w:t>
            </w:r>
            <w:r>
              <w:rPr>
                <w:rFonts w:ascii="宋体" w:hAnsi="宋体" w:eastAsia="宋体" w:cs="宋体"/>
                <w:color w:val="333333"/>
                <w:w w:val="98"/>
                <w:sz w:val="24"/>
                <w:szCs w:val="24"/>
              </w:rPr>
              <w:t>级纳税信用为年度评价指标得分</w:t>
            </w:r>
            <w:r>
              <w:rPr>
                <w:rFonts w:ascii="Times New Roman" w:hAnsi="Times New Roman" w:eastAsia="Times New Roman" w:cs="Times New Roman"/>
                <w:color w:val="333333"/>
                <w:w w:val="98"/>
                <w:sz w:val="24"/>
                <w:szCs w:val="24"/>
              </w:rPr>
              <w:t xml:space="preserve"> 90 </w:t>
            </w:r>
            <w:r>
              <w:rPr>
                <w:rFonts w:ascii="宋体" w:hAnsi="宋体" w:eastAsia="宋体" w:cs="宋体"/>
                <w:color w:val="333333"/>
                <w:w w:val="98"/>
                <w:sz w:val="24"/>
                <w:szCs w:val="24"/>
              </w:rPr>
              <w:t>分以上的；</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92" w:lineRule="exact"/>
              <w:ind w:left="100"/>
              <w:rPr>
                <w:color w:val="auto"/>
                <w:sz w:val="20"/>
                <w:szCs w:val="20"/>
              </w:rPr>
            </w:pPr>
            <w:r>
              <w:rPr>
                <w:rFonts w:ascii="Times New Roman" w:hAnsi="Times New Roman" w:eastAsia="Times New Roman" w:cs="Times New Roman"/>
                <w:color w:val="333333"/>
                <w:sz w:val="24"/>
                <w:szCs w:val="24"/>
              </w:rPr>
              <w:t xml:space="preserve">B </w:t>
            </w:r>
            <w:r>
              <w:rPr>
                <w:rFonts w:ascii="宋体" w:hAnsi="宋体" w:eastAsia="宋体" w:cs="宋体"/>
                <w:color w:val="333333"/>
                <w:sz w:val="24"/>
                <w:szCs w:val="24"/>
              </w:rPr>
              <w:t>级纳税信用为年度评价指标得分</w:t>
            </w:r>
            <w:r>
              <w:rPr>
                <w:rFonts w:ascii="Times New Roman" w:hAnsi="Times New Roman" w:eastAsia="Times New Roman" w:cs="Times New Roman"/>
                <w:color w:val="333333"/>
                <w:sz w:val="24"/>
                <w:szCs w:val="24"/>
              </w:rPr>
              <w:t xml:space="preserve"> 70 </w:t>
            </w:r>
            <w:r>
              <w:rPr>
                <w:rFonts w:ascii="宋体" w:hAnsi="宋体" w:eastAsia="宋体" w:cs="宋体"/>
                <w:color w:val="333333"/>
                <w:sz w:val="24"/>
                <w:szCs w:val="24"/>
              </w:rPr>
              <w:t>分以上不满</w:t>
            </w:r>
            <w:r>
              <w:rPr>
                <w:rFonts w:ascii="Times New Roman" w:hAnsi="Times New Roman" w:eastAsia="Times New Roman" w:cs="Times New Roman"/>
                <w:color w:val="333333"/>
                <w:sz w:val="24"/>
                <w:szCs w:val="24"/>
              </w:rPr>
              <w:t xml:space="preserve"> 90 </w:t>
            </w:r>
            <w:r>
              <w:rPr>
                <w:rFonts w:ascii="宋体" w:hAnsi="宋体" w:eastAsia="宋体" w:cs="宋体"/>
                <w:color w:val="333333"/>
                <w:sz w:val="24"/>
                <w:szCs w:val="24"/>
              </w:rPr>
              <w:t>分的；</w:t>
            </w:r>
            <w:r>
              <w:rPr>
                <w:rFonts w:ascii="Times New Roman" w:hAnsi="Times New Roman" w:eastAsia="Times New Roman" w:cs="Times New Roman"/>
                <w:color w:val="333333"/>
                <w:sz w:val="24"/>
                <w:szCs w:val="24"/>
              </w:rPr>
              <w:t xml:space="preserve">C </w:t>
            </w:r>
            <w:r>
              <w:rPr>
                <w:rFonts w:ascii="宋体" w:hAnsi="宋体" w:eastAsia="宋体" w:cs="宋体"/>
                <w:color w:val="333333"/>
                <w:sz w:val="24"/>
                <w:szCs w:val="24"/>
              </w:rPr>
              <w:t>级纳税信用为年度评价指标得分</w:t>
            </w:r>
            <w:r>
              <w:rPr>
                <w:rFonts w:ascii="Times New Roman" w:hAnsi="Times New Roman" w:eastAsia="Times New Roman" w:cs="Times New Roman"/>
                <w:color w:val="333333"/>
                <w:sz w:val="24"/>
                <w:szCs w:val="24"/>
              </w:rPr>
              <w:t xml:space="preserve"> 40 </w:t>
            </w:r>
            <w:r>
              <w:rPr>
                <w:rFonts w:ascii="宋体" w:hAnsi="宋体" w:eastAsia="宋体" w:cs="宋体"/>
                <w:color w:val="333333"/>
                <w:sz w:val="24"/>
                <w:szCs w:val="24"/>
              </w:rPr>
              <w:t>分</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3"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92" w:lineRule="exact"/>
              <w:ind w:left="100"/>
              <w:rPr>
                <w:color w:val="auto"/>
                <w:sz w:val="20"/>
                <w:szCs w:val="20"/>
              </w:rPr>
            </w:pPr>
            <w:r>
              <w:rPr>
                <w:rFonts w:ascii="宋体" w:hAnsi="宋体" w:eastAsia="宋体" w:cs="宋体"/>
                <w:color w:val="333333"/>
                <w:sz w:val="24"/>
                <w:szCs w:val="24"/>
              </w:rPr>
              <w:t>以上不满</w:t>
            </w:r>
            <w:r>
              <w:rPr>
                <w:rFonts w:ascii="Times New Roman" w:hAnsi="Times New Roman" w:eastAsia="Times New Roman" w:cs="Times New Roman"/>
                <w:color w:val="333333"/>
                <w:sz w:val="24"/>
                <w:szCs w:val="24"/>
              </w:rPr>
              <w:t xml:space="preserve"> 70 </w:t>
            </w:r>
            <w:r>
              <w:rPr>
                <w:rFonts w:ascii="宋体" w:hAnsi="宋体" w:eastAsia="宋体" w:cs="宋体"/>
                <w:color w:val="333333"/>
                <w:sz w:val="24"/>
                <w:szCs w:val="24"/>
              </w:rPr>
              <w:t>分的</w:t>
            </w:r>
            <w:r>
              <w:rPr>
                <w:rFonts w:ascii="Times New Roman" w:hAnsi="Times New Roman" w:eastAsia="Times New Roman" w:cs="Times New Roman"/>
                <w:color w:val="333333"/>
                <w:sz w:val="24"/>
                <w:szCs w:val="24"/>
              </w:rPr>
              <w:t xml:space="preserve">; D </w:t>
            </w:r>
            <w:r>
              <w:rPr>
                <w:rFonts w:ascii="宋体" w:hAnsi="宋体" w:eastAsia="宋体" w:cs="宋体"/>
                <w:color w:val="333333"/>
                <w:sz w:val="24"/>
                <w:szCs w:val="24"/>
              </w:rPr>
              <w:t>级纳税信用为年度评价指标得分不满</w:t>
            </w:r>
            <w:r>
              <w:rPr>
                <w:rFonts w:ascii="Times New Roman" w:hAnsi="Times New Roman" w:eastAsia="Times New Roman" w:cs="Times New Roman"/>
                <w:color w:val="333333"/>
                <w:sz w:val="24"/>
                <w:szCs w:val="24"/>
              </w:rPr>
              <w:t xml:space="preserve"> 40 </w:t>
            </w:r>
            <w:r>
              <w:rPr>
                <w:rFonts w:ascii="宋体" w:hAnsi="宋体" w:eastAsia="宋体" w:cs="宋体"/>
                <w:color w:val="333333"/>
                <w:sz w:val="24"/>
                <w:szCs w:val="24"/>
              </w:rPr>
              <w:t>分或者直接判级确定的。</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26" w:hRule="atLeast"/>
        </w:trPr>
        <w:tc>
          <w:tcPr>
            <w:tcW w:w="1800" w:type="dxa"/>
            <w:tcBorders>
              <w:left w:val="single" w:color="auto" w:sz="8" w:space="0"/>
              <w:bottom w:val="single" w:color="auto" w:sz="8" w:space="0"/>
              <w:right w:val="single" w:color="auto" w:sz="8" w:space="0"/>
            </w:tcBorders>
            <w:vAlign w:val="bottom"/>
          </w:tcPr>
          <w:p>
            <w:pPr>
              <w:spacing w:after="0"/>
              <w:rPr>
                <w:color w:val="auto"/>
                <w:sz w:val="2"/>
                <w:szCs w:val="2"/>
              </w:rPr>
            </w:pPr>
          </w:p>
        </w:tc>
        <w:tc>
          <w:tcPr>
            <w:tcW w:w="10620" w:type="dxa"/>
            <w:tcBorders>
              <w:bottom w:val="single" w:color="auto" w:sz="8" w:space="0"/>
              <w:right w:val="single" w:color="auto" w:sz="8" w:space="0"/>
            </w:tcBorders>
            <w:vAlign w:val="bottom"/>
          </w:tcPr>
          <w:p>
            <w:pPr>
              <w:spacing w:after="0"/>
              <w:rPr>
                <w:color w:val="auto"/>
                <w:sz w:val="2"/>
                <w:szCs w:val="2"/>
              </w:rPr>
            </w:pPr>
          </w:p>
        </w:tc>
        <w:tc>
          <w:tcPr>
            <w:tcW w:w="1420" w:type="dxa"/>
            <w:tcBorders>
              <w:bottom w:val="single" w:color="auto" w:sz="8" w:space="0"/>
              <w:right w:val="single" w:color="auto" w:sz="8" w:space="0"/>
            </w:tcBorders>
            <w:vAlign w:val="bottom"/>
          </w:tcPr>
          <w:p>
            <w:pPr>
              <w:spacing w:after="0"/>
              <w:rPr>
                <w:color w:val="auto"/>
                <w:sz w:val="2"/>
                <w:szCs w:val="2"/>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14"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333333"/>
                <w:sz w:val="24"/>
                <w:szCs w:val="24"/>
              </w:rPr>
              <w:t>1</w:t>
            </w:r>
            <w:r>
              <w:rPr>
                <w:rFonts w:ascii="宋体" w:hAnsi="宋体" w:eastAsia="宋体" w:cs="宋体"/>
                <w:b/>
                <w:bCs/>
                <w:color w:val="333333"/>
                <w:sz w:val="24"/>
                <w:szCs w:val="24"/>
              </w:rPr>
              <w:t>、《国务院关于促进市场公平竞争维护市场正常秩序的若干意见》</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34"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91" w:lineRule="exact"/>
              <w:ind w:left="580"/>
              <w:rPr>
                <w:color w:val="auto"/>
                <w:sz w:val="20"/>
                <w:szCs w:val="20"/>
              </w:rPr>
            </w:pPr>
            <w:r>
              <w:rPr>
                <w:rFonts w:ascii="宋体" w:hAnsi="宋体" w:eastAsia="宋体" w:cs="宋体"/>
                <w:color w:val="333333"/>
                <w:sz w:val="24"/>
                <w:szCs w:val="24"/>
              </w:rPr>
              <w:t>（十五）建立健全守信激励和失信惩戒机制。</w:t>
            </w:r>
            <w:r>
              <w:rPr>
                <w:rFonts w:ascii="Arial" w:hAnsi="Arial" w:eastAsia="Arial" w:cs="Arial"/>
                <w:color w:val="333333"/>
                <w:sz w:val="24"/>
                <w:szCs w:val="24"/>
              </w:rPr>
              <w:t>…</w:t>
            </w:r>
            <w:r>
              <w:rPr>
                <w:rFonts w:ascii="宋体" w:hAnsi="宋体" w:eastAsia="宋体" w:cs="宋体"/>
                <w:color w:val="333333"/>
                <w:sz w:val="24"/>
                <w:szCs w:val="24"/>
              </w:rPr>
              <w:t>对守信主体予以支持和激励，对失信主体在经</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3" w:hRule="atLeast"/>
        </w:trPr>
        <w:tc>
          <w:tcPr>
            <w:tcW w:w="1800" w:type="dxa"/>
            <w:vMerge w:val="restart"/>
            <w:tcBorders>
              <w:left w:val="single" w:color="auto" w:sz="8" w:space="0"/>
              <w:right w:val="single" w:color="auto" w:sz="8" w:space="0"/>
            </w:tcBorders>
            <w:vAlign w:val="bottom"/>
          </w:tcPr>
          <w:p>
            <w:pPr>
              <w:spacing w:after="0" w:line="292" w:lineRule="exact"/>
              <w:ind w:left="120"/>
              <w:rPr>
                <w:color w:val="auto"/>
                <w:sz w:val="20"/>
                <w:szCs w:val="20"/>
              </w:rPr>
            </w:pPr>
            <w:r>
              <w:rPr>
                <w:rFonts w:ascii="Times New Roman" w:hAnsi="Times New Roman" w:eastAsia="Times New Roman" w:cs="Times New Roman"/>
                <w:color w:val="333333"/>
                <w:w w:val="97"/>
                <w:sz w:val="24"/>
                <w:szCs w:val="24"/>
              </w:rPr>
              <w:t>10</w:t>
            </w:r>
            <w:r>
              <w:rPr>
                <w:rFonts w:ascii="宋体" w:hAnsi="宋体" w:eastAsia="宋体" w:cs="宋体"/>
                <w:color w:val="333333"/>
                <w:w w:val="97"/>
                <w:sz w:val="24"/>
                <w:szCs w:val="24"/>
              </w:rPr>
              <w:t>、对失信主体</w:t>
            </w:r>
          </w:p>
        </w:tc>
        <w:tc>
          <w:tcPr>
            <w:tcW w:w="1062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营、投融资、取得政府供应土地、进出口、出入境、注册新公司、工程招投标、政府采购、获得荣</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89" w:hRule="atLeast"/>
        </w:trPr>
        <w:tc>
          <w:tcPr>
            <w:tcW w:w="1800" w:type="dxa"/>
            <w:vMerge w:val="continue"/>
            <w:tcBorders>
              <w:left w:val="single" w:color="auto" w:sz="8" w:space="0"/>
              <w:right w:val="single" w:color="auto" w:sz="8" w:space="0"/>
            </w:tcBorders>
            <w:vAlign w:val="bottom"/>
          </w:tcPr>
          <w:p>
            <w:pPr>
              <w:spacing w:after="0"/>
              <w:rPr>
                <w:color w:val="auto"/>
                <w:sz w:val="16"/>
                <w:szCs w:val="16"/>
              </w:rPr>
            </w:pPr>
          </w:p>
        </w:tc>
        <w:tc>
          <w:tcPr>
            <w:tcW w:w="10620" w:type="dxa"/>
            <w:vMerge w:val="restart"/>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誉、安全许可、生产许可、从业任职资格、资质审核等方面依法予以限制或禁止，对严重违法失信</w:t>
            </w:r>
          </w:p>
        </w:tc>
        <w:tc>
          <w:tcPr>
            <w:tcW w:w="1420" w:type="dxa"/>
            <w:tcBorders>
              <w:right w:val="single" w:color="auto" w:sz="8" w:space="0"/>
            </w:tcBorders>
            <w:vAlign w:val="bottom"/>
          </w:tcPr>
          <w:p>
            <w:pPr>
              <w:spacing w:after="0"/>
              <w:rPr>
                <w:color w:val="auto"/>
                <w:sz w:val="16"/>
                <w:szCs w:val="16"/>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61" w:hRule="atLeast"/>
        </w:trPr>
        <w:tc>
          <w:tcPr>
            <w:tcW w:w="1800" w:type="dxa"/>
            <w:vMerge w:val="restart"/>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申请适用海关</w:t>
            </w:r>
          </w:p>
        </w:tc>
        <w:tc>
          <w:tcPr>
            <w:tcW w:w="10620" w:type="dxa"/>
            <w:vMerge w:val="continue"/>
            <w:tcBorders>
              <w:right w:val="single" w:color="auto" w:sz="8" w:space="0"/>
            </w:tcBorders>
            <w:vAlign w:val="bottom"/>
          </w:tcPr>
          <w:p>
            <w:pPr>
              <w:spacing w:after="0"/>
              <w:rPr>
                <w:color w:val="auto"/>
                <w:sz w:val="14"/>
                <w:szCs w:val="14"/>
              </w:rPr>
            </w:pPr>
          </w:p>
        </w:tc>
        <w:tc>
          <w:tcPr>
            <w:tcW w:w="1420" w:type="dxa"/>
            <w:tcBorders>
              <w:right w:val="single" w:color="auto" w:sz="8" w:space="0"/>
            </w:tcBorders>
            <w:vAlign w:val="bottom"/>
          </w:tcPr>
          <w:p>
            <w:pPr>
              <w:spacing w:after="0"/>
              <w:rPr>
                <w:color w:val="auto"/>
                <w:sz w:val="14"/>
                <w:szCs w:val="1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3" w:hRule="atLeast"/>
        </w:trPr>
        <w:tc>
          <w:tcPr>
            <w:tcW w:w="1800" w:type="dxa"/>
            <w:vMerge w:val="continue"/>
            <w:tcBorders>
              <w:left w:val="single" w:color="auto" w:sz="8" w:space="0"/>
              <w:right w:val="single" w:color="auto" w:sz="8" w:space="0"/>
            </w:tcBorders>
            <w:vAlign w:val="bottom"/>
          </w:tcPr>
          <w:p>
            <w:pPr>
              <w:spacing w:after="0"/>
              <w:rPr>
                <w:color w:val="auto"/>
                <w:sz w:val="15"/>
                <w:szCs w:val="15"/>
              </w:rPr>
            </w:pPr>
          </w:p>
        </w:tc>
        <w:tc>
          <w:tcPr>
            <w:tcW w:w="10620" w:type="dxa"/>
            <w:vMerge w:val="restart"/>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主体实行市场禁入制度。</w:t>
            </w:r>
          </w:p>
        </w:tc>
        <w:tc>
          <w:tcPr>
            <w:tcW w:w="1420" w:type="dxa"/>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8" w:hRule="atLeast"/>
        </w:trPr>
        <w:tc>
          <w:tcPr>
            <w:tcW w:w="1800" w:type="dxa"/>
            <w:vMerge w:val="restart"/>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认证企业管理</w:t>
            </w:r>
          </w:p>
        </w:tc>
        <w:tc>
          <w:tcPr>
            <w:tcW w:w="10620" w:type="dxa"/>
            <w:vMerge w:val="continue"/>
            <w:tcBorders>
              <w:right w:val="single" w:color="auto" w:sz="8" w:space="0"/>
            </w:tcBorders>
            <w:vAlign w:val="bottom"/>
          </w:tcPr>
          <w:p>
            <w:pPr>
              <w:spacing w:after="0"/>
              <w:rPr>
                <w:color w:val="auto"/>
                <w:sz w:val="15"/>
                <w:szCs w:val="15"/>
              </w:rPr>
            </w:pPr>
          </w:p>
        </w:tc>
        <w:tc>
          <w:tcPr>
            <w:tcW w:w="1420" w:type="dxa"/>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5" w:hRule="atLeast"/>
        </w:trPr>
        <w:tc>
          <w:tcPr>
            <w:tcW w:w="1800" w:type="dxa"/>
            <w:vMerge w:val="continue"/>
            <w:tcBorders>
              <w:left w:val="single" w:color="auto" w:sz="8" w:space="0"/>
              <w:right w:val="single" w:color="auto" w:sz="8" w:space="0"/>
            </w:tcBorders>
            <w:vAlign w:val="bottom"/>
          </w:tcPr>
          <w:p>
            <w:pPr>
              <w:spacing w:after="0"/>
              <w:rPr>
                <w:color w:val="auto"/>
                <w:sz w:val="15"/>
                <w:szCs w:val="15"/>
              </w:rPr>
            </w:pPr>
          </w:p>
        </w:tc>
        <w:tc>
          <w:tcPr>
            <w:tcW w:w="10620" w:type="dxa"/>
            <w:vMerge w:val="restart"/>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333333"/>
                <w:sz w:val="24"/>
                <w:szCs w:val="24"/>
              </w:rPr>
              <w:t>2</w:t>
            </w:r>
            <w:r>
              <w:rPr>
                <w:rFonts w:ascii="宋体" w:hAnsi="宋体" w:eastAsia="宋体" w:cs="宋体"/>
                <w:b/>
                <w:bCs/>
                <w:color w:val="333333"/>
                <w:sz w:val="24"/>
                <w:szCs w:val="24"/>
              </w:rPr>
              <w:t>、《关于公布</w:t>
            </w:r>
            <w:r>
              <w:rPr>
                <w:rFonts w:ascii="Times New Roman" w:hAnsi="Times New Roman" w:eastAsia="Times New Roman" w:cs="Times New Roman"/>
                <w:b/>
                <w:bCs/>
                <w:color w:val="333333"/>
                <w:sz w:val="24"/>
                <w:szCs w:val="24"/>
              </w:rPr>
              <w:t>&lt;</w:t>
            </w:r>
            <w:r>
              <w:rPr>
                <w:rFonts w:ascii="宋体" w:hAnsi="宋体" w:eastAsia="宋体" w:cs="宋体"/>
                <w:b/>
                <w:bCs/>
                <w:color w:val="333333"/>
                <w:sz w:val="24"/>
                <w:szCs w:val="24"/>
              </w:rPr>
              <w:t>海关认证企业标准</w:t>
            </w:r>
            <w:r>
              <w:rPr>
                <w:rFonts w:ascii="Times New Roman" w:hAnsi="Times New Roman" w:eastAsia="Times New Roman" w:cs="Times New Roman"/>
                <w:b/>
                <w:bCs/>
                <w:color w:val="333333"/>
                <w:sz w:val="24"/>
                <w:szCs w:val="24"/>
              </w:rPr>
              <w:t>&gt;</w:t>
            </w:r>
            <w:r>
              <w:rPr>
                <w:rFonts w:ascii="宋体" w:hAnsi="宋体" w:eastAsia="宋体" w:cs="宋体"/>
                <w:b/>
                <w:bCs/>
                <w:color w:val="333333"/>
                <w:sz w:val="24"/>
                <w:szCs w:val="24"/>
              </w:rPr>
              <w:t>的公告》</w:t>
            </w:r>
          </w:p>
        </w:tc>
        <w:tc>
          <w:tcPr>
            <w:tcW w:w="1420" w:type="dxa"/>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89" w:hRule="atLeast"/>
        </w:trPr>
        <w:tc>
          <w:tcPr>
            <w:tcW w:w="1800" w:type="dxa"/>
            <w:vMerge w:val="restart"/>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w w:val="97"/>
                <w:sz w:val="24"/>
                <w:szCs w:val="24"/>
              </w:rPr>
              <w:t>的，不予通过认</w:t>
            </w:r>
          </w:p>
        </w:tc>
        <w:tc>
          <w:tcPr>
            <w:tcW w:w="10620" w:type="dxa"/>
            <w:vMerge w:val="continue"/>
            <w:tcBorders>
              <w:right w:val="single" w:color="auto" w:sz="8" w:space="0"/>
            </w:tcBorders>
            <w:vAlign w:val="bottom"/>
          </w:tcPr>
          <w:p>
            <w:pPr>
              <w:spacing w:after="0"/>
              <w:rPr>
                <w:color w:val="auto"/>
                <w:sz w:val="16"/>
                <w:szCs w:val="16"/>
              </w:rPr>
            </w:pPr>
          </w:p>
        </w:tc>
        <w:tc>
          <w:tcPr>
            <w:tcW w:w="1420" w:type="dxa"/>
            <w:tcBorders>
              <w:right w:val="single" w:color="auto" w:sz="8" w:space="0"/>
            </w:tcBorders>
            <w:vAlign w:val="bottom"/>
          </w:tcPr>
          <w:p>
            <w:pPr>
              <w:spacing w:after="0"/>
              <w:rPr>
                <w:color w:val="auto"/>
                <w:sz w:val="16"/>
                <w:szCs w:val="16"/>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61" w:hRule="atLeast"/>
        </w:trPr>
        <w:tc>
          <w:tcPr>
            <w:tcW w:w="1800" w:type="dxa"/>
            <w:vMerge w:val="continue"/>
            <w:tcBorders>
              <w:left w:val="single" w:color="auto" w:sz="8" w:space="0"/>
              <w:right w:val="single" w:color="auto" w:sz="8" w:space="0"/>
            </w:tcBorders>
            <w:vAlign w:val="bottom"/>
          </w:tcPr>
          <w:p>
            <w:pPr>
              <w:spacing w:after="0"/>
              <w:rPr>
                <w:color w:val="auto"/>
                <w:sz w:val="14"/>
                <w:szCs w:val="14"/>
              </w:rPr>
            </w:pPr>
          </w:p>
        </w:tc>
        <w:tc>
          <w:tcPr>
            <w:tcW w:w="10620" w:type="dxa"/>
            <w:vMerge w:val="restart"/>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333333"/>
                <w:sz w:val="24"/>
                <w:szCs w:val="24"/>
              </w:rPr>
              <w:t>《海关认证企业标准（一般认证）》认证标准第（九）项 未有不良外部信用：企业或者其企业</w:t>
            </w:r>
          </w:p>
        </w:tc>
        <w:tc>
          <w:tcPr>
            <w:tcW w:w="1420" w:type="dxa"/>
            <w:tcBorders>
              <w:right w:val="single" w:color="auto" w:sz="8" w:space="0"/>
            </w:tcBorders>
            <w:vAlign w:val="bottom"/>
          </w:tcPr>
          <w:p>
            <w:pPr>
              <w:spacing w:after="0"/>
              <w:rPr>
                <w:color w:val="auto"/>
                <w:sz w:val="14"/>
                <w:szCs w:val="1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5" w:hRule="atLeast"/>
        </w:trPr>
        <w:tc>
          <w:tcPr>
            <w:tcW w:w="1800" w:type="dxa"/>
            <w:vMerge w:val="restart"/>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w w:val="97"/>
                <w:sz w:val="24"/>
                <w:szCs w:val="24"/>
              </w:rPr>
              <w:t>证；对已经成为</w:t>
            </w:r>
          </w:p>
        </w:tc>
        <w:tc>
          <w:tcPr>
            <w:tcW w:w="10620" w:type="dxa"/>
            <w:vMerge w:val="continue"/>
            <w:tcBorders>
              <w:right w:val="single" w:color="auto" w:sz="8" w:space="0"/>
            </w:tcBorders>
            <w:vAlign w:val="bottom"/>
          </w:tcPr>
          <w:p>
            <w:pPr>
              <w:spacing w:after="0"/>
              <w:rPr>
                <w:color w:val="auto"/>
                <w:sz w:val="15"/>
                <w:szCs w:val="15"/>
              </w:rPr>
            </w:pPr>
          </w:p>
        </w:tc>
        <w:tc>
          <w:tcPr>
            <w:tcW w:w="1420" w:type="dxa"/>
            <w:vMerge w:val="restart"/>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海关总署</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5" w:hRule="atLeast"/>
        </w:trPr>
        <w:tc>
          <w:tcPr>
            <w:tcW w:w="1800" w:type="dxa"/>
            <w:vMerge w:val="continue"/>
            <w:tcBorders>
              <w:left w:val="single" w:color="auto" w:sz="8" w:space="0"/>
              <w:right w:val="single" w:color="auto" w:sz="8" w:space="0"/>
            </w:tcBorders>
            <w:vAlign w:val="bottom"/>
          </w:tcPr>
          <w:p>
            <w:pPr>
              <w:spacing w:after="0"/>
              <w:rPr>
                <w:color w:val="auto"/>
                <w:sz w:val="15"/>
                <w:szCs w:val="15"/>
              </w:rPr>
            </w:pPr>
          </w:p>
        </w:tc>
        <w:tc>
          <w:tcPr>
            <w:tcW w:w="10620" w:type="dxa"/>
            <w:vMerge w:val="restart"/>
            <w:tcBorders>
              <w:right w:val="single" w:color="auto" w:sz="8" w:space="0"/>
            </w:tcBorders>
            <w:vAlign w:val="bottom"/>
          </w:tcPr>
          <w:p>
            <w:pPr>
              <w:spacing w:after="0" w:line="292" w:lineRule="exact"/>
              <w:ind w:left="100"/>
              <w:rPr>
                <w:color w:val="auto"/>
                <w:sz w:val="20"/>
                <w:szCs w:val="20"/>
              </w:rPr>
            </w:pPr>
            <w:r>
              <w:rPr>
                <w:rFonts w:ascii="宋体" w:hAnsi="宋体" w:eastAsia="宋体" w:cs="宋体"/>
                <w:color w:val="333333"/>
                <w:sz w:val="24"/>
                <w:szCs w:val="24"/>
              </w:rPr>
              <w:t>法定代表人（负责人）、负责关务的高级管理人员、财务负责人连续</w:t>
            </w:r>
            <w:r>
              <w:rPr>
                <w:rFonts w:ascii="Times New Roman" w:hAnsi="Times New Roman" w:eastAsia="Times New Roman" w:cs="Times New Roman"/>
                <w:color w:val="333333"/>
                <w:sz w:val="24"/>
                <w:szCs w:val="24"/>
              </w:rPr>
              <w:t xml:space="preserve"> 1 </w:t>
            </w:r>
            <w:r>
              <w:rPr>
                <w:rFonts w:ascii="宋体" w:hAnsi="宋体" w:eastAsia="宋体" w:cs="宋体"/>
                <w:color w:val="333333"/>
                <w:sz w:val="24"/>
                <w:szCs w:val="24"/>
              </w:rPr>
              <w:t>年在工商、商务、税务、银</w:t>
            </w:r>
          </w:p>
        </w:tc>
        <w:tc>
          <w:tcPr>
            <w:tcW w:w="1420" w:type="dxa"/>
            <w:vMerge w:val="continue"/>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89" w:hRule="atLeast"/>
        </w:trPr>
        <w:tc>
          <w:tcPr>
            <w:tcW w:w="1800" w:type="dxa"/>
            <w:vMerge w:val="restart"/>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w w:val="97"/>
                <w:sz w:val="24"/>
                <w:szCs w:val="24"/>
              </w:rPr>
              <w:t>认证企业的，按</w:t>
            </w:r>
          </w:p>
        </w:tc>
        <w:tc>
          <w:tcPr>
            <w:tcW w:w="10620" w:type="dxa"/>
            <w:vMerge w:val="continue"/>
            <w:tcBorders>
              <w:right w:val="single" w:color="auto" w:sz="8" w:space="0"/>
            </w:tcBorders>
            <w:vAlign w:val="bottom"/>
          </w:tcPr>
          <w:p>
            <w:pPr>
              <w:spacing w:after="0"/>
              <w:rPr>
                <w:color w:val="auto"/>
                <w:sz w:val="16"/>
                <w:szCs w:val="16"/>
              </w:rPr>
            </w:pPr>
          </w:p>
        </w:tc>
        <w:tc>
          <w:tcPr>
            <w:tcW w:w="1420" w:type="dxa"/>
            <w:tcBorders>
              <w:right w:val="single" w:color="auto" w:sz="8" w:space="0"/>
            </w:tcBorders>
            <w:vAlign w:val="bottom"/>
          </w:tcPr>
          <w:p>
            <w:pPr>
              <w:spacing w:after="0"/>
              <w:rPr>
                <w:color w:val="auto"/>
                <w:sz w:val="16"/>
                <w:szCs w:val="16"/>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61" w:hRule="atLeast"/>
        </w:trPr>
        <w:tc>
          <w:tcPr>
            <w:tcW w:w="1800" w:type="dxa"/>
            <w:vMerge w:val="continue"/>
            <w:tcBorders>
              <w:left w:val="single" w:color="auto" w:sz="8" w:space="0"/>
              <w:right w:val="single" w:color="auto" w:sz="8" w:space="0"/>
            </w:tcBorders>
            <w:vAlign w:val="bottom"/>
          </w:tcPr>
          <w:p>
            <w:pPr>
              <w:spacing w:after="0"/>
              <w:rPr>
                <w:color w:val="auto"/>
                <w:sz w:val="14"/>
                <w:szCs w:val="14"/>
              </w:rPr>
            </w:pPr>
          </w:p>
        </w:tc>
        <w:tc>
          <w:tcPr>
            <w:tcW w:w="10620" w:type="dxa"/>
            <w:vMerge w:val="restart"/>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w w:val="99"/>
                <w:sz w:val="24"/>
                <w:szCs w:val="24"/>
              </w:rPr>
              <w:t>行、外汇、检验检疫、公安、检察院、法院等部门未被列入经营异常名录、失信企业或者人员名单、</w:t>
            </w:r>
          </w:p>
        </w:tc>
        <w:tc>
          <w:tcPr>
            <w:tcW w:w="1420" w:type="dxa"/>
            <w:tcBorders>
              <w:right w:val="single" w:color="auto" w:sz="8" w:space="0"/>
            </w:tcBorders>
            <w:vAlign w:val="bottom"/>
          </w:tcPr>
          <w:p>
            <w:pPr>
              <w:spacing w:after="0"/>
              <w:rPr>
                <w:color w:val="auto"/>
                <w:sz w:val="14"/>
                <w:szCs w:val="1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5" w:hRule="atLeast"/>
        </w:trPr>
        <w:tc>
          <w:tcPr>
            <w:tcW w:w="1800" w:type="dxa"/>
            <w:vMerge w:val="restart"/>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照规定下调企</w:t>
            </w:r>
          </w:p>
        </w:tc>
        <w:tc>
          <w:tcPr>
            <w:tcW w:w="10620" w:type="dxa"/>
            <w:vMerge w:val="continue"/>
            <w:tcBorders>
              <w:right w:val="single" w:color="auto" w:sz="8" w:space="0"/>
            </w:tcBorders>
            <w:vAlign w:val="bottom"/>
          </w:tcPr>
          <w:p>
            <w:pPr>
              <w:spacing w:after="0"/>
              <w:rPr>
                <w:color w:val="auto"/>
                <w:sz w:val="15"/>
                <w:szCs w:val="15"/>
              </w:rPr>
            </w:pPr>
          </w:p>
        </w:tc>
        <w:tc>
          <w:tcPr>
            <w:tcW w:w="1420" w:type="dxa"/>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5" w:hRule="atLeast"/>
        </w:trPr>
        <w:tc>
          <w:tcPr>
            <w:tcW w:w="1800" w:type="dxa"/>
            <w:vMerge w:val="continue"/>
            <w:tcBorders>
              <w:left w:val="single" w:color="auto" w:sz="8" w:space="0"/>
              <w:right w:val="single" w:color="auto" w:sz="8" w:space="0"/>
            </w:tcBorders>
            <w:vAlign w:val="bottom"/>
          </w:tcPr>
          <w:p>
            <w:pPr>
              <w:spacing w:after="0"/>
              <w:rPr>
                <w:color w:val="auto"/>
                <w:sz w:val="15"/>
                <w:szCs w:val="15"/>
              </w:rPr>
            </w:pPr>
          </w:p>
        </w:tc>
        <w:tc>
          <w:tcPr>
            <w:tcW w:w="10620" w:type="dxa"/>
            <w:vMerge w:val="restart"/>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黑名单企业、人员。</w:t>
            </w:r>
          </w:p>
        </w:tc>
        <w:tc>
          <w:tcPr>
            <w:tcW w:w="1420" w:type="dxa"/>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5" w:hRule="atLeast"/>
        </w:trPr>
        <w:tc>
          <w:tcPr>
            <w:tcW w:w="1800" w:type="dxa"/>
            <w:vMerge w:val="restart"/>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业信用等级。</w:t>
            </w:r>
          </w:p>
        </w:tc>
        <w:tc>
          <w:tcPr>
            <w:tcW w:w="10620" w:type="dxa"/>
            <w:vMerge w:val="continue"/>
            <w:tcBorders>
              <w:right w:val="single" w:color="auto" w:sz="8" w:space="0"/>
            </w:tcBorders>
            <w:vAlign w:val="bottom"/>
          </w:tcPr>
          <w:p>
            <w:pPr>
              <w:spacing w:after="0"/>
              <w:rPr>
                <w:color w:val="auto"/>
                <w:sz w:val="15"/>
                <w:szCs w:val="15"/>
              </w:rPr>
            </w:pPr>
          </w:p>
        </w:tc>
        <w:tc>
          <w:tcPr>
            <w:tcW w:w="1420" w:type="dxa"/>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5" w:hRule="atLeast"/>
        </w:trPr>
        <w:tc>
          <w:tcPr>
            <w:tcW w:w="1800" w:type="dxa"/>
            <w:vMerge w:val="continue"/>
            <w:tcBorders>
              <w:left w:val="single" w:color="auto" w:sz="8" w:space="0"/>
              <w:right w:val="single" w:color="auto" w:sz="8" w:space="0"/>
            </w:tcBorders>
            <w:vAlign w:val="bottom"/>
          </w:tcPr>
          <w:p>
            <w:pPr>
              <w:spacing w:after="0"/>
              <w:rPr>
                <w:color w:val="auto"/>
                <w:sz w:val="15"/>
                <w:szCs w:val="15"/>
              </w:rPr>
            </w:pPr>
          </w:p>
        </w:tc>
        <w:tc>
          <w:tcPr>
            <w:tcW w:w="10620" w:type="dxa"/>
            <w:vMerge w:val="restart"/>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333333"/>
                <w:sz w:val="24"/>
                <w:szCs w:val="24"/>
              </w:rPr>
              <w:t>《海关认证企业标准（高级认证）》认证标准第（九）项 未有不良外部信用：企业或者其法定</w:t>
            </w:r>
          </w:p>
        </w:tc>
        <w:tc>
          <w:tcPr>
            <w:tcW w:w="1420" w:type="dxa"/>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5" w:hRule="atLeast"/>
        </w:trPr>
        <w:tc>
          <w:tcPr>
            <w:tcW w:w="1800" w:type="dxa"/>
            <w:tcBorders>
              <w:left w:val="single" w:color="auto" w:sz="8" w:space="0"/>
              <w:right w:val="single" w:color="auto" w:sz="8" w:space="0"/>
            </w:tcBorders>
            <w:vAlign w:val="bottom"/>
          </w:tcPr>
          <w:p>
            <w:pPr>
              <w:spacing w:after="0"/>
              <w:rPr>
                <w:color w:val="auto"/>
                <w:sz w:val="15"/>
                <w:szCs w:val="15"/>
              </w:rPr>
            </w:pPr>
          </w:p>
        </w:tc>
        <w:tc>
          <w:tcPr>
            <w:tcW w:w="10620" w:type="dxa"/>
            <w:vMerge w:val="continue"/>
            <w:tcBorders>
              <w:right w:val="single" w:color="auto" w:sz="8" w:space="0"/>
            </w:tcBorders>
            <w:vAlign w:val="bottom"/>
          </w:tcPr>
          <w:p>
            <w:pPr>
              <w:spacing w:after="0"/>
              <w:rPr>
                <w:color w:val="auto"/>
                <w:sz w:val="15"/>
                <w:szCs w:val="15"/>
              </w:rPr>
            </w:pPr>
          </w:p>
        </w:tc>
        <w:tc>
          <w:tcPr>
            <w:tcW w:w="1420" w:type="dxa"/>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64"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92" w:lineRule="exact"/>
              <w:ind w:left="100"/>
              <w:rPr>
                <w:color w:val="auto"/>
                <w:sz w:val="20"/>
                <w:szCs w:val="20"/>
              </w:rPr>
            </w:pPr>
            <w:r>
              <w:rPr>
                <w:rFonts w:ascii="宋体" w:hAnsi="宋体" w:eastAsia="宋体" w:cs="宋体"/>
                <w:color w:val="333333"/>
                <w:sz w:val="24"/>
                <w:szCs w:val="24"/>
              </w:rPr>
              <w:t>代表人（负责人）、负责关务的高级管理人员、财务负责人连续</w:t>
            </w:r>
            <w:r>
              <w:rPr>
                <w:rFonts w:ascii="Times New Roman" w:hAnsi="Times New Roman" w:eastAsia="Times New Roman" w:cs="Times New Roman"/>
                <w:color w:val="333333"/>
                <w:sz w:val="24"/>
                <w:szCs w:val="24"/>
              </w:rPr>
              <w:t xml:space="preserve"> 1 </w:t>
            </w:r>
            <w:r>
              <w:rPr>
                <w:rFonts w:ascii="宋体" w:hAnsi="宋体" w:eastAsia="宋体" w:cs="宋体"/>
                <w:color w:val="333333"/>
                <w:sz w:val="24"/>
                <w:szCs w:val="24"/>
              </w:rPr>
              <w:t>年在工商、商务、税务、银行、</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39"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外汇、检验检疫、公安、检察院、法院等部门未被列入经营异常名录、失信企业或者人员名单、黑</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名单企业、人员。</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42" w:hRule="atLeast"/>
        </w:trPr>
        <w:tc>
          <w:tcPr>
            <w:tcW w:w="180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10620" w:type="dxa"/>
            <w:tcBorders>
              <w:bottom w:val="single" w:color="auto" w:sz="8" w:space="0"/>
              <w:right w:val="single" w:color="auto" w:sz="8" w:space="0"/>
            </w:tcBorders>
            <w:vAlign w:val="bottom"/>
          </w:tcPr>
          <w:p>
            <w:pPr>
              <w:spacing w:after="0"/>
              <w:rPr>
                <w:color w:val="auto"/>
                <w:sz w:val="3"/>
                <w:szCs w:val="3"/>
              </w:rPr>
            </w:pPr>
          </w:p>
        </w:tc>
        <w:tc>
          <w:tcPr>
            <w:tcW w:w="1420" w:type="dxa"/>
            <w:tcBorders>
              <w:bottom w:val="single" w:color="auto" w:sz="8" w:space="0"/>
              <w:right w:val="single" w:color="auto" w:sz="8" w:space="0"/>
            </w:tcBorders>
            <w:vAlign w:val="bottom"/>
          </w:tcPr>
          <w:p>
            <w:pPr>
              <w:spacing w:after="0"/>
              <w:rPr>
                <w:color w:val="auto"/>
                <w:sz w:val="3"/>
                <w:szCs w:val="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12" w:hRule="atLeast"/>
        </w:trPr>
        <w:tc>
          <w:tcPr>
            <w:tcW w:w="1800" w:type="dxa"/>
            <w:tcBorders>
              <w:left w:val="single" w:color="auto" w:sz="8" w:space="0"/>
              <w:right w:val="single" w:color="auto" w:sz="8" w:space="0"/>
            </w:tcBorders>
            <w:vAlign w:val="bottom"/>
          </w:tcPr>
          <w:p>
            <w:pPr>
              <w:spacing w:after="0" w:line="292" w:lineRule="exact"/>
              <w:ind w:left="120"/>
              <w:rPr>
                <w:color w:val="auto"/>
                <w:sz w:val="20"/>
                <w:szCs w:val="20"/>
              </w:rPr>
            </w:pPr>
            <w:r>
              <w:rPr>
                <w:rFonts w:ascii="Times New Roman" w:hAnsi="Times New Roman" w:eastAsia="Times New Roman" w:cs="Times New Roman"/>
                <w:color w:val="333333"/>
                <w:w w:val="97"/>
                <w:sz w:val="24"/>
                <w:szCs w:val="24"/>
              </w:rPr>
              <w:t>11</w:t>
            </w:r>
            <w:r>
              <w:rPr>
                <w:rFonts w:ascii="宋体" w:hAnsi="宋体" w:eastAsia="宋体" w:cs="宋体"/>
                <w:color w:val="333333"/>
                <w:w w:val="97"/>
                <w:sz w:val="24"/>
                <w:szCs w:val="24"/>
              </w:rPr>
              <w:t>、在失信主体</w:t>
            </w:r>
          </w:p>
        </w:tc>
        <w:tc>
          <w:tcPr>
            <w:tcW w:w="10620" w:type="dxa"/>
            <w:tcBorders>
              <w:right w:val="single" w:color="auto" w:sz="8" w:space="0"/>
            </w:tcBorders>
            <w:vAlign w:val="bottom"/>
          </w:tcPr>
          <w:p>
            <w:pPr>
              <w:spacing w:after="0" w:line="291" w:lineRule="exact"/>
              <w:ind w:left="580"/>
              <w:rPr>
                <w:color w:val="auto"/>
                <w:sz w:val="20"/>
                <w:szCs w:val="20"/>
              </w:rPr>
            </w:pPr>
            <w:r>
              <w:rPr>
                <w:rFonts w:ascii="Arial" w:hAnsi="Arial" w:eastAsia="Arial" w:cs="Arial"/>
                <w:b/>
                <w:bCs/>
                <w:color w:val="333333"/>
                <w:sz w:val="24"/>
                <w:szCs w:val="24"/>
              </w:rPr>
              <w:t>1</w:t>
            </w:r>
            <w:r>
              <w:rPr>
                <w:rFonts w:ascii="宋体" w:hAnsi="宋体" w:eastAsia="宋体" w:cs="宋体"/>
                <w:b/>
                <w:bCs/>
                <w:color w:val="333333"/>
                <w:sz w:val="24"/>
                <w:szCs w:val="24"/>
              </w:rPr>
              <w:t>、《中华人民共和国海关企业信用管理暂行办法》</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36" w:hRule="atLeast"/>
        </w:trPr>
        <w:tc>
          <w:tcPr>
            <w:tcW w:w="180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办理通关等海</w:t>
            </w:r>
          </w:p>
        </w:tc>
        <w:tc>
          <w:tcPr>
            <w:tcW w:w="1062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333333"/>
                <w:sz w:val="24"/>
                <w:szCs w:val="24"/>
              </w:rPr>
              <w:t>第三条 海关根据企业信用状况将企业认定为认证企业、一般信用企业和失信企业，按照诚信守</w:t>
            </w:r>
          </w:p>
        </w:tc>
        <w:tc>
          <w:tcPr>
            <w:tcW w:w="142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海关总署</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w w:val="97"/>
                <w:sz w:val="24"/>
                <w:szCs w:val="24"/>
              </w:rPr>
              <w:t>关业务时，对其</w:t>
            </w:r>
          </w:p>
        </w:tc>
        <w:tc>
          <w:tcPr>
            <w:tcW w:w="1062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法便利、失信违法惩戒原则，分别适用相应的管理措施。</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40" w:hRule="atLeast"/>
        </w:trPr>
        <w:tc>
          <w:tcPr>
            <w:tcW w:w="180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10620" w:type="dxa"/>
            <w:tcBorders>
              <w:bottom w:val="single" w:color="auto" w:sz="8" w:space="0"/>
              <w:right w:val="single" w:color="auto" w:sz="8" w:space="0"/>
            </w:tcBorders>
            <w:vAlign w:val="bottom"/>
          </w:tcPr>
          <w:p>
            <w:pPr>
              <w:spacing w:after="0"/>
              <w:rPr>
                <w:color w:val="auto"/>
                <w:sz w:val="3"/>
                <w:szCs w:val="3"/>
              </w:rPr>
            </w:pPr>
          </w:p>
        </w:tc>
        <w:tc>
          <w:tcPr>
            <w:tcW w:w="1420" w:type="dxa"/>
            <w:tcBorders>
              <w:bottom w:val="single" w:color="auto" w:sz="8" w:space="0"/>
              <w:right w:val="single" w:color="auto" w:sz="8" w:space="0"/>
            </w:tcBorders>
            <w:vAlign w:val="bottom"/>
          </w:tcPr>
          <w:p>
            <w:pPr>
              <w:spacing w:after="0"/>
              <w:rPr>
                <w:color w:val="auto"/>
                <w:sz w:val="3"/>
                <w:szCs w:val="3"/>
              </w:rPr>
            </w:pPr>
          </w:p>
        </w:tc>
        <w:tc>
          <w:tcPr>
            <w:tcW w:w="0" w:type="dxa"/>
            <w:vAlign w:val="bottom"/>
          </w:tcPr>
          <w:p>
            <w:pPr>
              <w:spacing w:after="0"/>
              <w:rPr>
                <w:color w:val="auto"/>
                <w:sz w:val="1"/>
                <w:szCs w:val="1"/>
              </w:rPr>
            </w:pPr>
          </w:p>
        </w:tc>
      </w:tr>
    </w:tbl>
    <w:p>
      <w:pPr>
        <w:spacing w:after="0" w:line="200" w:lineRule="exact"/>
        <w:rPr>
          <w:color w:val="auto"/>
          <w:sz w:val="20"/>
          <w:szCs w:val="20"/>
        </w:rPr>
      </w:pPr>
    </w:p>
    <w:p>
      <w:pPr>
        <w:sectPr>
          <w:pgSz w:w="16840" w:h="11906" w:orient="landscape"/>
          <w:pgMar w:top="1440" w:right="1440" w:bottom="808" w:left="1440" w:header="0" w:footer="0" w:gutter="0"/>
          <w:cols w:equalWidth="0" w:num="1">
            <w:col w:w="13958"/>
          </w:cols>
        </w:sectPr>
      </w:pPr>
    </w:p>
    <w:p>
      <w:pPr>
        <w:spacing w:after="0" w:line="198" w:lineRule="exact"/>
        <w:rPr>
          <w:color w:val="auto"/>
          <w:sz w:val="20"/>
          <w:szCs w:val="20"/>
        </w:rPr>
      </w:pPr>
    </w:p>
    <w:p>
      <w:pPr>
        <w:spacing w:after="0"/>
        <w:ind w:right="-1"/>
        <w:jc w:val="center"/>
        <w:rPr>
          <w:color w:val="auto"/>
          <w:sz w:val="20"/>
          <w:szCs w:val="20"/>
        </w:rPr>
      </w:pPr>
      <w:r>
        <w:rPr>
          <w:rFonts w:ascii="Times New Roman" w:hAnsi="Times New Roman" w:eastAsia="Times New Roman" w:cs="Times New Roman"/>
          <w:color w:val="auto"/>
          <w:sz w:val="24"/>
          <w:szCs w:val="24"/>
        </w:rPr>
        <w:t>8</w:t>
      </w:r>
    </w:p>
    <w:p>
      <w:pPr>
        <w:sectPr>
          <w:type w:val="continuous"/>
          <w:pgSz w:w="16840" w:h="11906" w:orient="landscape"/>
          <w:pgMar w:top="1440" w:right="1440" w:bottom="808" w:left="1440" w:header="0" w:footer="0" w:gutter="0"/>
          <w:cols w:equalWidth="0" w:num="1">
            <w:col w:w="13958"/>
          </w:cols>
        </w:sectPr>
      </w:pPr>
    </w:p>
    <w:p>
      <w:pPr>
        <w:spacing w:after="0" w:line="298" w:lineRule="exact"/>
        <w:rPr>
          <w:color w:val="auto"/>
          <w:sz w:val="20"/>
          <w:szCs w:val="20"/>
        </w:rPr>
      </w:pPr>
      <w:bookmarkStart w:id="7" w:name="page15"/>
      <w:bookmarkEnd w:id="7"/>
    </w:p>
    <w:tbl>
      <w:tblPr>
        <w:tblStyle w:val="2"/>
        <w:tblW w:w="0" w:type="auto"/>
        <w:tblInd w:w="70" w:type="dxa"/>
        <w:tblLayout w:type="fixed"/>
        <w:tblCellMar>
          <w:top w:w="0" w:type="dxa"/>
          <w:left w:w="0" w:type="dxa"/>
          <w:bottom w:w="0" w:type="dxa"/>
          <w:right w:w="0" w:type="dxa"/>
        </w:tblCellMar>
      </w:tblPr>
      <w:tblGrid>
        <w:gridCol w:w="1800"/>
        <w:gridCol w:w="10620"/>
        <w:gridCol w:w="1420"/>
      </w:tblGrid>
      <w:tr>
        <w:tblPrEx>
          <w:tblCellMar>
            <w:top w:w="0" w:type="dxa"/>
            <w:left w:w="0" w:type="dxa"/>
            <w:bottom w:w="0" w:type="dxa"/>
            <w:right w:w="0" w:type="dxa"/>
          </w:tblCellMar>
        </w:tblPrEx>
        <w:trPr>
          <w:trHeight w:val="319" w:hRule="atLeast"/>
        </w:trPr>
        <w:tc>
          <w:tcPr>
            <w:tcW w:w="1800" w:type="dxa"/>
            <w:tcBorders>
              <w:top w:val="single" w:color="auto" w:sz="8" w:space="0"/>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进出口货物实</w:t>
            </w:r>
          </w:p>
        </w:tc>
        <w:tc>
          <w:tcPr>
            <w:tcW w:w="10620" w:type="dxa"/>
            <w:tcBorders>
              <w:top w:val="single" w:color="auto" w:sz="8" w:space="0"/>
              <w:right w:val="single" w:color="auto" w:sz="8" w:space="0"/>
            </w:tcBorders>
            <w:vAlign w:val="bottom"/>
          </w:tcPr>
          <w:p>
            <w:pPr>
              <w:spacing w:after="0"/>
              <w:rPr>
                <w:color w:val="auto"/>
                <w:sz w:val="24"/>
                <w:szCs w:val="24"/>
              </w:rPr>
            </w:pPr>
          </w:p>
        </w:tc>
        <w:tc>
          <w:tcPr>
            <w:tcW w:w="1420" w:type="dxa"/>
            <w:tcBorders>
              <w:top w:val="single" w:color="auto" w:sz="8" w:space="0"/>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w w:val="97"/>
                <w:sz w:val="24"/>
                <w:szCs w:val="24"/>
              </w:rPr>
              <w:t>施严密监管，加</w:t>
            </w:r>
          </w:p>
        </w:tc>
        <w:tc>
          <w:tcPr>
            <w:tcW w:w="10620" w:type="dxa"/>
            <w:tcBorders>
              <w:right w:val="single" w:color="auto" w:sz="8" w:space="0"/>
            </w:tcBorders>
            <w:vAlign w:val="bottom"/>
          </w:tcPr>
          <w:p>
            <w:pPr>
              <w:spacing w:after="0"/>
              <w:rPr>
                <w:color w:val="auto"/>
                <w:sz w:val="24"/>
                <w:szCs w:val="24"/>
              </w:rPr>
            </w:pP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w w:val="97"/>
                <w:sz w:val="24"/>
                <w:szCs w:val="24"/>
              </w:rPr>
              <w:t>强单证审核、布</w:t>
            </w:r>
          </w:p>
        </w:tc>
        <w:tc>
          <w:tcPr>
            <w:tcW w:w="10620" w:type="dxa"/>
            <w:tcBorders>
              <w:right w:val="single" w:color="auto" w:sz="8" w:space="0"/>
            </w:tcBorders>
            <w:vAlign w:val="bottom"/>
          </w:tcPr>
          <w:p>
            <w:pPr>
              <w:spacing w:after="0"/>
              <w:rPr>
                <w:color w:val="auto"/>
                <w:sz w:val="24"/>
                <w:szCs w:val="24"/>
              </w:rPr>
            </w:pP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控查验或后续</w:t>
            </w:r>
          </w:p>
        </w:tc>
        <w:tc>
          <w:tcPr>
            <w:tcW w:w="10620" w:type="dxa"/>
            <w:tcBorders>
              <w:right w:val="single" w:color="auto" w:sz="8" w:space="0"/>
            </w:tcBorders>
            <w:vAlign w:val="bottom"/>
          </w:tcPr>
          <w:p>
            <w:pPr>
              <w:spacing w:after="0"/>
              <w:rPr>
                <w:color w:val="auto"/>
                <w:sz w:val="24"/>
                <w:szCs w:val="24"/>
              </w:rPr>
            </w:pP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稽查。</w:t>
            </w:r>
          </w:p>
        </w:tc>
        <w:tc>
          <w:tcPr>
            <w:tcW w:w="10620" w:type="dxa"/>
            <w:tcBorders>
              <w:right w:val="single" w:color="auto" w:sz="8" w:space="0"/>
            </w:tcBorders>
            <w:vAlign w:val="bottom"/>
          </w:tcPr>
          <w:p>
            <w:pPr>
              <w:spacing w:after="0"/>
              <w:rPr>
                <w:color w:val="auto"/>
                <w:sz w:val="24"/>
                <w:szCs w:val="24"/>
              </w:rPr>
            </w:pP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42" w:hRule="atLeast"/>
        </w:trPr>
        <w:tc>
          <w:tcPr>
            <w:tcW w:w="180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10620" w:type="dxa"/>
            <w:tcBorders>
              <w:bottom w:val="single" w:color="auto" w:sz="8" w:space="0"/>
              <w:right w:val="single" w:color="auto" w:sz="8" w:space="0"/>
            </w:tcBorders>
            <w:vAlign w:val="bottom"/>
          </w:tcPr>
          <w:p>
            <w:pPr>
              <w:spacing w:after="0"/>
              <w:rPr>
                <w:color w:val="auto"/>
                <w:sz w:val="3"/>
                <w:szCs w:val="3"/>
              </w:rPr>
            </w:pPr>
          </w:p>
        </w:tc>
        <w:tc>
          <w:tcPr>
            <w:tcW w:w="1420" w:type="dxa"/>
            <w:tcBorders>
              <w:bottom w:val="single" w:color="auto" w:sz="8" w:space="0"/>
              <w:right w:val="single" w:color="auto" w:sz="8" w:space="0"/>
            </w:tcBorders>
            <w:vAlign w:val="bottom"/>
          </w:tcPr>
          <w:p>
            <w:pPr>
              <w:spacing w:after="0"/>
              <w:rPr>
                <w:color w:val="auto"/>
                <w:sz w:val="3"/>
                <w:szCs w:val="3"/>
              </w:rPr>
            </w:pPr>
          </w:p>
        </w:tc>
      </w:tr>
      <w:tr>
        <w:tblPrEx>
          <w:tblCellMar>
            <w:top w:w="0" w:type="dxa"/>
            <w:left w:w="0" w:type="dxa"/>
            <w:bottom w:w="0" w:type="dxa"/>
            <w:right w:w="0" w:type="dxa"/>
          </w:tblCellMar>
        </w:tblPrEx>
        <w:trPr>
          <w:trHeight w:val="314"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333333"/>
                <w:sz w:val="24"/>
                <w:szCs w:val="24"/>
              </w:rPr>
              <w:t>1</w:t>
            </w:r>
            <w:r>
              <w:rPr>
                <w:rFonts w:ascii="宋体" w:hAnsi="宋体" w:eastAsia="宋体" w:cs="宋体"/>
                <w:b/>
                <w:bCs/>
                <w:color w:val="333333"/>
                <w:sz w:val="24"/>
                <w:szCs w:val="24"/>
              </w:rPr>
              <w:t>、《国务院关于促进市场公平竞争维护市场正常秩序的若干意见》</w:t>
            </w: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36"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333333"/>
                <w:sz w:val="24"/>
                <w:szCs w:val="24"/>
              </w:rPr>
              <w:t>（十五）建立健全守信激励和失信惩戒机制。将市场主体的信用信息作为实施行政管理的重要</w:t>
            </w: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62" w:hRule="atLeast"/>
        </w:trPr>
        <w:tc>
          <w:tcPr>
            <w:tcW w:w="1800" w:type="dxa"/>
            <w:tcBorders>
              <w:left w:val="single" w:color="auto" w:sz="8" w:space="0"/>
              <w:right w:val="single" w:color="auto" w:sz="8" w:space="0"/>
            </w:tcBorders>
            <w:vAlign w:val="bottom"/>
          </w:tcPr>
          <w:p>
            <w:pPr>
              <w:spacing w:after="0" w:line="292" w:lineRule="exact"/>
              <w:ind w:left="120"/>
              <w:rPr>
                <w:color w:val="auto"/>
                <w:sz w:val="20"/>
                <w:szCs w:val="20"/>
              </w:rPr>
            </w:pPr>
            <w:r>
              <w:rPr>
                <w:rFonts w:ascii="Times New Roman" w:hAnsi="Times New Roman" w:eastAsia="Times New Roman" w:cs="Times New Roman"/>
                <w:color w:val="333333"/>
                <w:w w:val="97"/>
                <w:sz w:val="24"/>
                <w:szCs w:val="24"/>
              </w:rPr>
              <w:t>12</w:t>
            </w:r>
            <w:r>
              <w:rPr>
                <w:rFonts w:ascii="宋体" w:hAnsi="宋体" w:eastAsia="宋体" w:cs="宋体"/>
                <w:color w:val="333333"/>
                <w:w w:val="97"/>
                <w:sz w:val="24"/>
                <w:szCs w:val="24"/>
              </w:rPr>
              <w:t>、将失信主体</w:t>
            </w:r>
          </w:p>
        </w:tc>
        <w:tc>
          <w:tcPr>
            <w:tcW w:w="10620" w:type="dxa"/>
            <w:tcBorders>
              <w:right w:val="single" w:color="auto" w:sz="8" w:space="0"/>
            </w:tcBorders>
            <w:vAlign w:val="bottom"/>
          </w:tcPr>
          <w:p>
            <w:pPr>
              <w:spacing w:after="0" w:line="291" w:lineRule="exact"/>
              <w:ind w:left="100"/>
              <w:rPr>
                <w:color w:val="auto"/>
                <w:sz w:val="20"/>
                <w:szCs w:val="20"/>
              </w:rPr>
            </w:pPr>
            <w:r>
              <w:rPr>
                <w:rFonts w:ascii="宋体" w:hAnsi="宋体" w:eastAsia="宋体" w:cs="宋体"/>
                <w:color w:val="333333"/>
                <w:sz w:val="24"/>
                <w:szCs w:val="24"/>
              </w:rPr>
              <w:t>参考。</w:t>
            </w:r>
            <w:r>
              <w:rPr>
                <w:rFonts w:ascii="Arial" w:hAnsi="Arial" w:eastAsia="Arial" w:cs="Arial"/>
                <w:color w:val="333333"/>
                <w:sz w:val="24"/>
                <w:szCs w:val="24"/>
              </w:rPr>
              <w:t>…</w:t>
            </w:r>
            <w:r>
              <w:rPr>
                <w:rFonts w:ascii="宋体" w:hAnsi="宋体" w:eastAsia="宋体" w:cs="宋体"/>
                <w:color w:val="333333"/>
                <w:sz w:val="24"/>
                <w:szCs w:val="24"/>
              </w:rPr>
              <w:t>对守信主体予以支持和激励，对失信主体在经营、投融资、取得政府供应土地、进出口、</w:t>
            </w: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39" w:hRule="atLeast"/>
        </w:trPr>
        <w:tc>
          <w:tcPr>
            <w:tcW w:w="180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的信用状况作</w:t>
            </w:r>
          </w:p>
        </w:tc>
        <w:tc>
          <w:tcPr>
            <w:tcW w:w="1062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出入境、注册新公司、工程招投标、政府采购、获得荣誉、安全许可、生产许可、从业任职资格、</w:t>
            </w: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为进出口检验</w:t>
            </w:r>
          </w:p>
        </w:tc>
        <w:tc>
          <w:tcPr>
            <w:tcW w:w="1062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资质审核等方面依法予以限制或禁止，对严重违法失信主体实行市场禁入制度。</w:t>
            </w:r>
          </w:p>
        </w:tc>
        <w:tc>
          <w:tcPr>
            <w:tcW w:w="142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质检总局</w:t>
            </w:r>
          </w:p>
        </w:tc>
      </w:tr>
      <w:tr>
        <w:tblPrEx>
          <w:tblCellMar>
            <w:top w:w="0" w:type="dxa"/>
            <w:left w:w="0" w:type="dxa"/>
            <w:bottom w:w="0" w:type="dxa"/>
            <w:right w:w="0" w:type="dxa"/>
          </w:tblCellMar>
        </w:tblPrEx>
        <w:trPr>
          <w:trHeight w:val="364" w:hRule="atLeast"/>
        </w:trPr>
        <w:tc>
          <w:tcPr>
            <w:tcW w:w="180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检疫监管的重</w:t>
            </w:r>
          </w:p>
        </w:tc>
        <w:tc>
          <w:tcPr>
            <w:tcW w:w="1062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333333"/>
                <w:sz w:val="24"/>
                <w:szCs w:val="24"/>
              </w:rPr>
              <w:t>2</w:t>
            </w:r>
            <w:r>
              <w:rPr>
                <w:rFonts w:ascii="宋体" w:hAnsi="宋体" w:eastAsia="宋体" w:cs="宋体"/>
                <w:b/>
                <w:bCs/>
                <w:color w:val="333333"/>
                <w:sz w:val="24"/>
                <w:szCs w:val="24"/>
              </w:rPr>
              <w:t>、《出入境检验检疫企业信用管理办法》</w:t>
            </w: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36" w:hRule="atLeast"/>
        </w:trPr>
        <w:tc>
          <w:tcPr>
            <w:tcW w:w="180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要参考。</w:t>
            </w:r>
          </w:p>
        </w:tc>
        <w:tc>
          <w:tcPr>
            <w:tcW w:w="10620" w:type="dxa"/>
            <w:tcBorders>
              <w:right w:val="single" w:color="auto" w:sz="8" w:space="0"/>
            </w:tcBorders>
            <w:vAlign w:val="bottom"/>
          </w:tcPr>
          <w:p>
            <w:pPr>
              <w:spacing w:after="0" w:line="291" w:lineRule="exact"/>
              <w:ind w:left="580"/>
              <w:rPr>
                <w:color w:val="auto"/>
                <w:sz w:val="20"/>
                <w:szCs w:val="20"/>
              </w:rPr>
            </w:pPr>
            <w:r>
              <w:rPr>
                <w:rFonts w:ascii="宋体" w:hAnsi="宋体" w:eastAsia="宋体" w:cs="宋体"/>
                <w:color w:val="333333"/>
                <w:sz w:val="24"/>
                <w:szCs w:val="24"/>
              </w:rPr>
              <w:t>第二十三条 检验检疫机构按</w:t>
            </w:r>
            <w:r>
              <w:rPr>
                <w:rFonts w:ascii="Arial" w:hAnsi="Arial" w:eastAsia="Arial" w:cs="Arial"/>
                <w:color w:val="333333"/>
                <w:sz w:val="24"/>
                <w:szCs w:val="24"/>
              </w:rPr>
              <w:t>“</w:t>
            </w:r>
            <w:r>
              <w:rPr>
                <w:rFonts w:ascii="宋体" w:hAnsi="宋体" w:eastAsia="宋体" w:cs="宋体"/>
                <w:color w:val="333333"/>
                <w:sz w:val="24"/>
                <w:szCs w:val="24"/>
              </w:rPr>
              <w:t>守信便利，失信惩戒</w:t>
            </w:r>
            <w:r>
              <w:rPr>
                <w:rFonts w:ascii="Arial" w:hAnsi="Arial" w:eastAsia="Arial" w:cs="Arial"/>
                <w:color w:val="333333"/>
                <w:sz w:val="24"/>
                <w:szCs w:val="24"/>
              </w:rPr>
              <w:t>”</w:t>
            </w:r>
            <w:r>
              <w:rPr>
                <w:rFonts w:ascii="宋体" w:hAnsi="宋体" w:eastAsia="宋体" w:cs="宋体"/>
                <w:color w:val="333333"/>
                <w:sz w:val="24"/>
                <w:szCs w:val="24"/>
              </w:rPr>
              <w:t>的原则，将企业信用等级作为开展检验检</w:t>
            </w: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91" w:lineRule="exact"/>
              <w:ind w:left="100"/>
              <w:rPr>
                <w:color w:val="auto"/>
                <w:sz w:val="20"/>
                <w:szCs w:val="20"/>
              </w:rPr>
            </w:pPr>
            <w:r>
              <w:rPr>
                <w:rFonts w:ascii="宋体" w:hAnsi="宋体" w:eastAsia="宋体" w:cs="宋体"/>
                <w:color w:val="333333"/>
                <w:sz w:val="24"/>
                <w:szCs w:val="24"/>
              </w:rPr>
              <w:t>疫监督管理工作的基础，对不同信用等级的企业分别实施相应的检验检疫监管措施。</w:t>
            </w:r>
            <w:r>
              <w:rPr>
                <w:rFonts w:ascii="Arial" w:hAnsi="Arial" w:eastAsia="Arial" w:cs="Arial"/>
                <w:color w:val="333333"/>
                <w:sz w:val="24"/>
                <w:szCs w:val="24"/>
              </w:rPr>
              <w:t>…</w:t>
            </w: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53"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333333"/>
                <w:sz w:val="24"/>
                <w:szCs w:val="24"/>
              </w:rPr>
              <w:t>第二十四条 检验检疫机构可针对不同的信用等级制定和完善符合实际管理需要的监管措施。</w:t>
            </w: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40" w:hRule="atLeast"/>
        </w:trPr>
        <w:tc>
          <w:tcPr>
            <w:tcW w:w="180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10620" w:type="dxa"/>
            <w:tcBorders>
              <w:bottom w:val="single" w:color="auto" w:sz="8" w:space="0"/>
              <w:right w:val="single" w:color="auto" w:sz="8" w:space="0"/>
            </w:tcBorders>
            <w:vAlign w:val="bottom"/>
          </w:tcPr>
          <w:p>
            <w:pPr>
              <w:spacing w:after="0"/>
              <w:rPr>
                <w:color w:val="auto"/>
                <w:sz w:val="3"/>
                <w:szCs w:val="3"/>
              </w:rPr>
            </w:pPr>
          </w:p>
        </w:tc>
        <w:tc>
          <w:tcPr>
            <w:tcW w:w="1420" w:type="dxa"/>
            <w:tcBorders>
              <w:bottom w:val="single" w:color="auto" w:sz="8" w:space="0"/>
              <w:right w:val="single" w:color="auto" w:sz="8" w:space="0"/>
            </w:tcBorders>
            <w:vAlign w:val="bottom"/>
          </w:tcPr>
          <w:p>
            <w:pPr>
              <w:spacing w:after="0"/>
              <w:rPr>
                <w:color w:val="auto"/>
                <w:sz w:val="3"/>
                <w:szCs w:val="3"/>
              </w:rPr>
            </w:pPr>
          </w:p>
        </w:tc>
      </w:tr>
      <w:tr>
        <w:tblPrEx>
          <w:tblCellMar>
            <w:top w:w="0" w:type="dxa"/>
            <w:left w:w="0" w:type="dxa"/>
            <w:bottom w:w="0" w:type="dxa"/>
            <w:right w:w="0" w:type="dxa"/>
          </w:tblCellMar>
        </w:tblPrEx>
        <w:trPr>
          <w:trHeight w:val="314"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333333"/>
                <w:sz w:val="24"/>
                <w:szCs w:val="24"/>
              </w:rPr>
              <w:t>1</w:t>
            </w:r>
            <w:r>
              <w:rPr>
                <w:rFonts w:ascii="宋体" w:hAnsi="宋体" w:eastAsia="宋体" w:cs="宋体"/>
                <w:b/>
                <w:bCs/>
                <w:color w:val="333333"/>
                <w:sz w:val="24"/>
                <w:szCs w:val="24"/>
              </w:rPr>
              <w:t>、《国务院关于促进市场公平竞争维护市场正常秩序的若干意见》</w:t>
            </w: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34"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91" w:lineRule="exact"/>
              <w:ind w:left="580"/>
              <w:rPr>
                <w:color w:val="auto"/>
                <w:sz w:val="20"/>
                <w:szCs w:val="20"/>
              </w:rPr>
            </w:pPr>
            <w:r>
              <w:rPr>
                <w:rFonts w:ascii="宋体" w:hAnsi="宋体" w:eastAsia="宋体" w:cs="宋体"/>
                <w:color w:val="333333"/>
                <w:sz w:val="24"/>
                <w:szCs w:val="24"/>
              </w:rPr>
              <w:t>（十五）建立健全守信激励和失信惩戒机制。</w:t>
            </w:r>
            <w:r>
              <w:rPr>
                <w:rFonts w:ascii="Arial" w:hAnsi="Arial" w:eastAsia="Arial" w:cs="Arial"/>
                <w:color w:val="333333"/>
                <w:sz w:val="24"/>
                <w:szCs w:val="24"/>
              </w:rPr>
              <w:t>…</w:t>
            </w:r>
            <w:r>
              <w:rPr>
                <w:rFonts w:ascii="宋体" w:hAnsi="宋体" w:eastAsia="宋体" w:cs="宋体"/>
                <w:color w:val="333333"/>
                <w:sz w:val="24"/>
                <w:szCs w:val="24"/>
              </w:rPr>
              <w:t>对守信主体予以支持和激励，对失信主体在经</w:t>
            </w: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53"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营、投融资、取得政府供应土地、进出口、出入境、注册新公司、工程招投标、政府采购、获得荣</w:t>
            </w: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48"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誉、安全许可、生产许可、从业任职资格、资质审核等方面依法予以限制或禁止，对严重违法失信</w:t>
            </w: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53"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主体实行市场禁入制度。</w:t>
            </w: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64"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333333"/>
                <w:w w:val="98"/>
                <w:sz w:val="24"/>
                <w:szCs w:val="24"/>
              </w:rPr>
              <w:t>2</w:t>
            </w:r>
            <w:r>
              <w:rPr>
                <w:rFonts w:ascii="宋体" w:hAnsi="宋体" w:eastAsia="宋体" w:cs="宋体"/>
                <w:b/>
                <w:bCs/>
                <w:color w:val="333333"/>
                <w:w w:val="98"/>
                <w:sz w:val="24"/>
                <w:szCs w:val="24"/>
              </w:rPr>
              <w:t>、《国务院关于建立完善守信联合激励和失信联合惩戒制度加快推进社会诚信建设的指导意见</w:t>
            </w:r>
            <w:r>
              <w:rPr>
                <w:rFonts w:ascii="宋体" w:hAnsi="宋体" w:eastAsia="宋体" w:cs="宋体"/>
                <w:color w:val="333333"/>
                <w:w w:val="98"/>
                <w:sz w:val="24"/>
                <w:szCs w:val="24"/>
              </w:rPr>
              <w:t>》</w:t>
            </w: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36"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91" w:lineRule="exact"/>
              <w:ind w:left="580"/>
              <w:rPr>
                <w:color w:val="auto"/>
                <w:sz w:val="20"/>
                <w:szCs w:val="20"/>
              </w:rPr>
            </w:pPr>
            <w:r>
              <w:rPr>
                <w:rFonts w:ascii="宋体" w:hAnsi="宋体" w:eastAsia="宋体" w:cs="宋体"/>
                <w:color w:val="333333"/>
                <w:sz w:val="24"/>
                <w:szCs w:val="24"/>
              </w:rPr>
              <w:t>（十一）加强对失信行为的市场性约束和惩戒。</w:t>
            </w:r>
            <w:r>
              <w:rPr>
                <w:rFonts w:ascii="Arial" w:hAnsi="Arial" w:eastAsia="Arial" w:cs="Arial"/>
                <w:color w:val="333333"/>
                <w:sz w:val="24"/>
                <w:szCs w:val="24"/>
              </w:rPr>
              <w:t>…</w:t>
            </w:r>
            <w:r>
              <w:rPr>
                <w:rFonts w:ascii="宋体" w:hAnsi="宋体" w:eastAsia="宋体" w:cs="宋体"/>
                <w:color w:val="333333"/>
                <w:sz w:val="24"/>
                <w:szCs w:val="24"/>
              </w:rPr>
              <w:t>引导商业银行、证券期货经营机构、保险公</w:t>
            </w: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司等金融机构按照风险定价原则，对严重失信主体提高贷款利率和财产保险费率，或者限制向其提</w:t>
            </w: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供贷款、保荐、承销、保险等服务。</w:t>
            </w: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40" w:hRule="atLeast"/>
        </w:trPr>
        <w:tc>
          <w:tcPr>
            <w:tcW w:w="180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10620" w:type="dxa"/>
            <w:tcBorders>
              <w:bottom w:val="single" w:color="auto" w:sz="8" w:space="0"/>
              <w:right w:val="single" w:color="auto" w:sz="8" w:space="0"/>
            </w:tcBorders>
            <w:vAlign w:val="bottom"/>
          </w:tcPr>
          <w:p>
            <w:pPr>
              <w:spacing w:after="0"/>
              <w:rPr>
                <w:color w:val="auto"/>
                <w:sz w:val="3"/>
                <w:szCs w:val="3"/>
              </w:rPr>
            </w:pPr>
          </w:p>
        </w:tc>
        <w:tc>
          <w:tcPr>
            <w:tcW w:w="1420" w:type="dxa"/>
            <w:tcBorders>
              <w:bottom w:val="single" w:color="auto" w:sz="8" w:space="0"/>
              <w:right w:val="single" w:color="auto" w:sz="8" w:space="0"/>
            </w:tcBorders>
            <w:vAlign w:val="bottom"/>
          </w:tcPr>
          <w:p>
            <w:pPr>
              <w:spacing w:after="0"/>
              <w:rPr>
                <w:color w:val="auto"/>
                <w:sz w:val="3"/>
                <w:szCs w:val="3"/>
              </w:rPr>
            </w:pPr>
          </w:p>
        </w:tc>
      </w:tr>
    </w:tbl>
    <w:p>
      <w:pPr>
        <w:spacing w:after="0" w:line="200" w:lineRule="exact"/>
        <w:rPr>
          <w:color w:val="auto"/>
          <w:sz w:val="20"/>
          <w:szCs w:val="20"/>
        </w:rPr>
      </w:pPr>
    </w:p>
    <w:p>
      <w:pPr>
        <w:sectPr>
          <w:pgSz w:w="16840" w:h="11906" w:orient="landscape"/>
          <w:pgMar w:top="1440" w:right="1440" w:bottom="808" w:left="1440" w:header="0" w:footer="0" w:gutter="0"/>
          <w:cols w:equalWidth="0" w:num="1">
            <w:col w:w="13958"/>
          </w:cols>
        </w:sectPr>
      </w:pPr>
    </w:p>
    <w:p>
      <w:pPr>
        <w:spacing w:after="0" w:line="198" w:lineRule="exact"/>
        <w:rPr>
          <w:color w:val="auto"/>
          <w:sz w:val="20"/>
          <w:szCs w:val="20"/>
        </w:rPr>
      </w:pPr>
    </w:p>
    <w:p>
      <w:pPr>
        <w:spacing w:after="0"/>
        <w:ind w:right="-1"/>
        <w:jc w:val="center"/>
        <w:rPr>
          <w:color w:val="auto"/>
          <w:sz w:val="20"/>
          <w:szCs w:val="20"/>
        </w:rPr>
      </w:pPr>
      <w:r>
        <w:rPr>
          <w:rFonts w:ascii="Times New Roman" w:hAnsi="Times New Roman" w:eastAsia="Times New Roman" w:cs="Times New Roman"/>
          <w:color w:val="auto"/>
          <w:sz w:val="24"/>
          <w:szCs w:val="24"/>
        </w:rPr>
        <w:t>9</w:t>
      </w:r>
    </w:p>
    <w:p>
      <w:pPr>
        <w:sectPr>
          <w:type w:val="continuous"/>
          <w:pgSz w:w="16840" w:h="11906" w:orient="landscape"/>
          <w:pgMar w:top="1440" w:right="1440" w:bottom="808" w:left="1440" w:header="0" w:footer="0" w:gutter="0"/>
          <w:cols w:equalWidth="0" w:num="1">
            <w:col w:w="13958"/>
          </w:cols>
        </w:sectPr>
      </w:pPr>
    </w:p>
    <w:p>
      <w:pPr>
        <w:spacing w:after="0" w:line="333" w:lineRule="exact"/>
        <w:rPr>
          <w:color w:val="auto"/>
          <w:sz w:val="20"/>
          <w:szCs w:val="20"/>
        </w:rPr>
      </w:pPr>
      <w:bookmarkStart w:id="8" w:name="page16"/>
      <w:bookmarkEnd w:id="8"/>
      <w:r>
        <w:rPr>
          <w:color w:val="auto"/>
          <w:sz w:val="20"/>
          <w:szCs w:val="20"/>
        </w:rPr>
        <w:drawing>
          <wp:anchor distT="0" distB="0" distL="114300" distR="114300" simplePos="0" relativeHeight="251658240" behindDoc="1" locked="0" layoutInCell="0" allowOverlap="1">
            <wp:simplePos x="0" y="0"/>
            <wp:positionH relativeFrom="page">
              <wp:posOffset>954405</wp:posOffset>
            </wp:positionH>
            <wp:positionV relativeFrom="page">
              <wp:posOffset>1116330</wp:posOffset>
            </wp:positionV>
            <wp:extent cx="8783320" cy="5361305"/>
            <wp:effectExtent l="0" t="0" r="1016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6">
                      <a:clrChange>
                        <a:clrFrom>
                          <a:srgbClr val="FFFFFF"/>
                        </a:clrFrom>
                        <a:clrTo>
                          <a:srgbClr val="FFFFFF">
                            <a:alpha val="0"/>
                          </a:srgbClr>
                        </a:clrTo>
                      </a:clrChange>
                    </a:blip>
                    <a:srcRect/>
                    <a:stretch>
                      <a:fillRect/>
                    </a:stretch>
                  </pic:blipFill>
                  <pic:spPr>
                    <a:xfrm>
                      <a:off x="0" y="0"/>
                      <a:ext cx="8783320" cy="5361305"/>
                    </a:xfrm>
                    <a:prstGeom prst="rect">
                      <a:avLst/>
                    </a:prstGeom>
                    <a:noFill/>
                  </pic:spPr>
                </pic:pic>
              </a:graphicData>
            </a:graphic>
          </wp:anchor>
        </w:drawing>
      </w:r>
    </w:p>
    <w:p>
      <w:pPr>
        <w:spacing w:after="0" w:line="292" w:lineRule="exact"/>
        <w:ind w:left="2440"/>
        <w:rPr>
          <w:color w:val="auto"/>
          <w:sz w:val="20"/>
          <w:szCs w:val="20"/>
        </w:rPr>
      </w:pPr>
      <w:r>
        <w:rPr>
          <w:rFonts w:ascii="Times New Roman" w:hAnsi="Times New Roman" w:eastAsia="Times New Roman" w:cs="Times New Roman"/>
          <w:b/>
          <w:bCs/>
          <w:color w:val="333333"/>
          <w:sz w:val="24"/>
          <w:szCs w:val="24"/>
        </w:rPr>
        <w:t>3</w:t>
      </w:r>
      <w:r>
        <w:rPr>
          <w:rFonts w:ascii="宋体" w:hAnsi="宋体" w:eastAsia="宋体" w:cs="宋体"/>
          <w:b/>
          <w:bCs/>
          <w:color w:val="333333"/>
          <w:sz w:val="24"/>
          <w:szCs w:val="24"/>
        </w:rPr>
        <w:t>、《国务院办公厅关于运用大数据加强对市场主体服务和监管的若干意见》</w:t>
      </w:r>
    </w:p>
    <w:p>
      <w:pPr>
        <w:spacing w:after="0" w:line="93" w:lineRule="exact"/>
        <w:rPr>
          <w:color w:val="auto"/>
          <w:sz w:val="20"/>
          <w:szCs w:val="20"/>
        </w:rPr>
      </w:pPr>
    </w:p>
    <w:p>
      <w:pPr>
        <w:spacing w:after="0" w:line="337" w:lineRule="exact"/>
        <w:ind w:left="1960" w:right="1598" w:firstLine="480"/>
        <w:jc w:val="both"/>
        <w:rPr>
          <w:color w:val="auto"/>
          <w:sz w:val="20"/>
          <w:szCs w:val="20"/>
        </w:rPr>
      </w:pPr>
      <w:r>
        <w:rPr>
          <w:rFonts w:ascii="宋体" w:hAnsi="宋体" w:eastAsia="宋体" w:cs="宋体"/>
          <w:color w:val="333333"/>
          <w:sz w:val="24"/>
          <w:szCs w:val="24"/>
        </w:rPr>
        <w:t>（十三）建立健全失信联合惩戒机制。</w:t>
      </w:r>
      <w:r>
        <w:rPr>
          <w:rFonts w:ascii="Arial" w:hAnsi="Arial" w:eastAsia="Arial" w:cs="Arial"/>
          <w:color w:val="333333"/>
          <w:sz w:val="24"/>
          <w:szCs w:val="24"/>
        </w:rPr>
        <w:t>…</w:t>
      </w:r>
      <w:r>
        <w:rPr>
          <w:rFonts w:ascii="宋体" w:hAnsi="宋体" w:eastAsia="宋体" w:cs="宋体"/>
          <w:color w:val="333333"/>
          <w:sz w:val="24"/>
          <w:szCs w:val="24"/>
        </w:rPr>
        <w:t>充分发挥行政、司法、金融、社会等领域的综合监管效能，在市场准入、行政审批、资质认定、享受财政补贴和税收优惠政策、企业法定代表人和负责人任职资格审查、政府采购、政府购买服务、银行信贷、招标投标、国有土地出让、企业上市、货物通关、税收征缴、社保缴费、外汇管理、劳动用工、价格制定、电子商务、产品质量、食品药品安全、消费品安全、知识产权、环境保护、治安管理、人口管理、出入境管理、授予荣誉称号等方面，建立跨部门联动响应和失信约束机制，对违法失信主体依法予以限制或禁入。建立各行业</w:t>
      </w:r>
      <w:r>
        <w:rPr>
          <w:rFonts w:ascii="Arial" w:hAnsi="Arial" w:eastAsia="Arial" w:cs="Arial"/>
          <w:color w:val="333333"/>
          <w:sz w:val="24"/>
          <w:szCs w:val="24"/>
        </w:rPr>
        <w:t>“</w:t>
      </w:r>
      <w:r>
        <w:rPr>
          <w:rFonts w:ascii="宋体" w:hAnsi="宋体" w:eastAsia="宋体" w:cs="宋体"/>
          <w:color w:val="333333"/>
          <w:sz w:val="24"/>
          <w:szCs w:val="24"/>
        </w:rPr>
        <w:t>黑</w:t>
      </w:r>
    </w:p>
    <w:p>
      <w:pPr>
        <w:spacing w:after="0" w:line="35" w:lineRule="exact"/>
        <w:rPr>
          <w:color w:val="auto"/>
          <w:sz w:val="20"/>
          <w:szCs w:val="20"/>
        </w:rPr>
      </w:pPr>
    </w:p>
    <w:p>
      <w:pPr>
        <w:tabs>
          <w:tab w:val="left" w:pos="1940"/>
        </w:tabs>
        <w:spacing w:after="0" w:line="314" w:lineRule="exact"/>
        <w:ind w:left="180"/>
        <w:rPr>
          <w:color w:val="auto"/>
          <w:sz w:val="20"/>
          <w:szCs w:val="20"/>
        </w:rPr>
      </w:pPr>
      <w:r>
        <w:rPr>
          <w:rFonts w:ascii="Times New Roman" w:hAnsi="Times New Roman" w:eastAsia="Times New Roman" w:cs="Times New Roman"/>
          <w:color w:val="333333"/>
          <w:sz w:val="24"/>
          <w:szCs w:val="24"/>
        </w:rPr>
        <w:t>13</w:t>
      </w:r>
      <w:r>
        <w:rPr>
          <w:rFonts w:ascii="宋体" w:hAnsi="宋体" w:eastAsia="宋体" w:cs="宋体"/>
          <w:color w:val="333333"/>
          <w:sz w:val="24"/>
          <w:szCs w:val="24"/>
        </w:rPr>
        <w:t>、将失信状况</w:t>
      </w:r>
      <w:r>
        <w:rPr>
          <w:color w:val="auto"/>
          <w:sz w:val="20"/>
          <w:szCs w:val="20"/>
        </w:rPr>
        <w:tab/>
      </w:r>
      <w:r>
        <w:rPr>
          <w:rFonts w:ascii="宋体" w:hAnsi="宋体" w:eastAsia="宋体" w:cs="宋体"/>
          <w:color w:val="333333"/>
          <w:sz w:val="24"/>
          <w:szCs w:val="24"/>
        </w:rPr>
        <w:t>名单</w:t>
      </w:r>
      <w:r>
        <w:rPr>
          <w:rFonts w:ascii="Arial" w:hAnsi="Arial" w:eastAsia="Arial" w:cs="Arial"/>
          <w:color w:val="333333"/>
          <w:sz w:val="24"/>
          <w:szCs w:val="24"/>
        </w:rPr>
        <w:t>”</w:t>
      </w:r>
      <w:r>
        <w:rPr>
          <w:rFonts w:ascii="宋体" w:hAnsi="宋体" w:eastAsia="宋体" w:cs="宋体"/>
          <w:color w:val="333333"/>
          <w:sz w:val="24"/>
          <w:szCs w:val="24"/>
        </w:rPr>
        <w:t>制度和市场退出机制。推动将申请人良好的信用状况作为各类行政许可的必备条件。</w:t>
      </w:r>
    </w:p>
    <w:p>
      <w:pPr>
        <w:spacing w:after="0" w:line="32" w:lineRule="exact"/>
        <w:rPr>
          <w:color w:val="auto"/>
          <w:sz w:val="20"/>
          <w:szCs w:val="20"/>
        </w:rPr>
      </w:pPr>
    </w:p>
    <w:p>
      <w:pPr>
        <w:tabs>
          <w:tab w:val="left" w:pos="2420"/>
          <w:tab w:val="left" w:pos="12560"/>
        </w:tabs>
        <w:spacing w:after="0" w:line="315" w:lineRule="exact"/>
        <w:ind w:left="180"/>
        <w:rPr>
          <w:color w:val="auto"/>
          <w:sz w:val="20"/>
          <w:szCs w:val="20"/>
        </w:rPr>
      </w:pPr>
      <w:r>
        <w:rPr>
          <w:rFonts w:ascii="宋体" w:hAnsi="宋体" w:eastAsia="宋体" w:cs="宋体"/>
          <w:color w:val="333333"/>
          <w:sz w:val="24"/>
          <w:szCs w:val="24"/>
        </w:rPr>
        <w:t>作为金融机构</w:t>
      </w:r>
      <w:r>
        <w:rPr>
          <w:color w:val="auto"/>
          <w:sz w:val="20"/>
          <w:szCs w:val="20"/>
        </w:rPr>
        <w:tab/>
      </w:r>
      <w:r>
        <w:rPr>
          <w:rFonts w:ascii="Times New Roman" w:hAnsi="Times New Roman" w:eastAsia="Times New Roman" w:cs="Times New Roman"/>
          <w:b/>
          <w:bCs/>
          <w:color w:val="333333"/>
          <w:sz w:val="24"/>
          <w:szCs w:val="24"/>
        </w:rPr>
        <w:t>4</w:t>
      </w:r>
      <w:r>
        <w:rPr>
          <w:rFonts w:ascii="宋体" w:hAnsi="宋体" w:eastAsia="宋体" w:cs="宋体"/>
          <w:b/>
          <w:bCs/>
          <w:color w:val="333333"/>
          <w:sz w:val="24"/>
          <w:szCs w:val="24"/>
        </w:rPr>
        <w:t>、《中华人民共和国商业银行法》</w:t>
      </w:r>
      <w:r>
        <w:rPr>
          <w:color w:val="auto"/>
          <w:sz w:val="20"/>
          <w:szCs w:val="20"/>
        </w:rPr>
        <w:tab/>
      </w:r>
      <w:r>
        <w:rPr>
          <w:rFonts w:ascii="宋体" w:hAnsi="宋体" w:eastAsia="宋体" w:cs="宋体"/>
          <w:color w:val="333333"/>
          <w:sz w:val="23"/>
          <w:szCs w:val="23"/>
        </w:rPr>
        <w:t>人民银行、</w:t>
      </w:r>
    </w:p>
    <w:p>
      <w:pPr>
        <w:spacing w:after="0" w:line="93" w:lineRule="exact"/>
        <w:rPr>
          <w:color w:val="auto"/>
          <w:sz w:val="20"/>
          <w:szCs w:val="20"/>
        </w:rPr>
      </w:pPr>
    </w:p>
    <w:p>
      <w:pPr>
        <w:spacing w:after="0" w:line="310" w:lineRule="exact"/>
        <w:ind w:left="180" w:right="658"/>
        <w:rPr>
          <w:color w:val="auto"/>
          <w:sz w:val="20"/>
          <w:szCs w:val="20"/>
        </w:rPr>
      </w:pPr>
      <w:r>
        <w:rPr>
          <w:rFonts w:ascii="宋体" w:hAnsi="宋体" w:eastAsia="宋体" w:cs="宋体"/>
          <w:color w:val="333333"/>
          <w:sz w:val="24"/>
          <w:szCs w:val="24"/>
        </w:rPr>
        <w:t>融资授信时的 第三十五条 商业银行贷款，应当对借款人的借款用途、偿还能力、还款方式等情况进行严格审 银监会审慎性参考。 查。</w:t>
      </w:r>
    </w:p>
    <w:p>
      <w:pPr>
        <w:spacing w:after="0" w:line="78" w:lineRule="exact"/>
        <w:rPr>
          <w:color w:val="auto"/>
          <w:sz w:val="20"/>
          <w:szCs w:val="20"/>
        </w:rPr>
      </w:pPr>
    </w:p>
    <w:p>
      <w:pPr>
        <w:spacing w:after="0" w:line="274" w:lineRule="exact"/>
        <w:ind w:left="2440"/>
        <w:rPr>
          <w:color w:val="auto"/>
          <w:sz w:val="20"/>
          <w:szCs w:val="20"/>
        </w:rPr>
      </w:pPr>
      <w:r>
        <w:rPr>
          <w:rFonts w:ascii="宋体" w:hAnsi="宋体" w:eastAsia="宋体" w:cs="宋体"/>
          <w:color w:val="333333"/>
          <w:sz w:val="24"/>
          <w:szCs w:val="24"/>
        </w:rPr>
        <w:t>商业银行贷款，应当实行审贷分离、分级审批的制度。</w:t>
      </w:r>
    </w:p>
    <w:p>
      <w:pPr>
        <w:spacing w:after="0" w:line="81" w:lineRule="exact"/>
        <w:rPr>
          <w:color w:val="auto"/>
          <w:sz w:val="20"/>
          <w:szCs w:val="20"/>
        </w:rPr>
      </w:pPr>
    </w:p>
    <w:p>
      <w:pPr>
        <w:spacing w:after="0" w:line="310" w:lineRule="exact"/>
        <w:ind w:left="1960" w:right="1498" w:firstLine="480"/>
        <w:rPr>
          <w:color w:val="auto"/>
          <w:sz w:val="20"/>
          <w:szCs w:val="20"/>
        </w:rPr>
      </w:pPr>
      <w:r>
        <w:rPr>
          <w:rFonts w:ascii="宋体" w:hAnsi="宋体" w:eastAsia="宋体" w:cs="宋体"/>
          <w:color w:val="333333"/>
          <w:sz w:val="24"/>
          <w:szCs w:val="24"/>
        </w:rPr>
        <w:t>第三十六条 商业银行贷款，借款人应当提供担保。商业银行应当对保证人的偿还能力，抵押物、质物的权属和价值以及实现抵押权、质权的可行性进行严格审查。</w:t>
      </w:r>
    </w:p>
    <w:p>
      <w:pPr>
        <w:spacing w:after="0" w:line="79" w:lineRule="exact"/>
        <w:rPr>
          <w:color w:val="auto"/>
          <w:sz w:val="20"/>
          <w:szCs w:val="20"/>
        </w:rPr>
      </w:pPr>
    </w:p>
    <w:p>
      <w:pPr>
        <w:spacing w:after="0" w:line="274" w:lineRule="exact"/>
        <w:ind w:left="2440"/>
        <w:rPr>
          <w:color w:val="auto"/>
          <w:sz w:val="20"/>
          <w:szCs w:val="20"/>
        </w:rPr>
      </w:pPr>
      <w:r>
        <w:rPr>
          <w:rFonts w:ascii="宋体" w:hAnsi="宋体" w:eastAsia="宋体" w:cs="宋体"/>
          <w:color w:val="333333"/>
          <w:sz w:val="24"/>
          <w:szCs w:val="24"/>
        </w:rPr>
        <w:t>经商业银行审查、评估，确认借款人资信良好，确能偿还贷款的，可以不提供担保。</w:t>
      </w:r>
    </w:p>
    <w:p>
      <w:pPr>
        <w:spacing w:after="0" w:line="46" w:lineRule="exact"/>
        <w:rPr>
          <w:color w:val="auto"/>
          <w:sz w:val="20"/>
          <w:szCs w:val="20"/>
        </w:rPr>
      </w:pPr>
    </w:p>
    <w:p>
      <w:pPr>
        <w:spacing w:after="0" w:line="292" w:lineRule="exact"/>
        <w:ind w:left="2440"/>
        <w:rPr>
          <w:color w:val="auto"/>
          <w:sz w:val="20"/>
          <w:szCs w:val="20"/>
        </w:rPr>
      </w:pPr>
      <w:r>
        <w:rPr>
          <w:rFonts w:ascii="Times New Roman" w:hAnsi="Times New Roman" w:eastAsia="Times New Roman" w:cs="Times New Roman"/>
          <w:b/>
          <w:bCs/>
          <w:color w:val="333333"/>
          <w:sz w:val="24"/>
          <w:szCs w:val="24"/>
        </w:rPr>
        <w:t>5</w:t>
      </w:r>
      <w:r>
        <w:rPr>
          <w:rFonts w:ascii="宋体" w:hAnsi="宋体" w:eastAsia="宋体" w:cs="宋体"/>
          <w:b/>
          <w:bCs/>
          <w:color w:val="333333"/>
          <w:sz w:val="24"/>
          <w:szCs w:val="24"/>
        </w:rPr>
        <w:t>、《贷款通则》</w:t>
      </w:r>
    </w:p>
    <w:p>
      <w:pPr>
        <w:spacing w:after="0" w:line="91" w:lineRule="exact"/>
        <w:rPr>
          <w:color w:val="auto"/>
          <w:sz w:val="20"/>
          <w:szCs w:val="20"/>
        </w:rPr>
      </w:pPr>
    </w:p>
    <w:p>
      <w:pPr>
        <w:spacing w:after="0" w:line="274" w:lineRule="exact"/>
        <w:ind w:left="2440"/>
        <w:rPr>
          <w:color w:val="auto"/>
          <w:sz w:val="20"/>
          <w:szCs w:val="20"/>
        </w:rPr>
      </w:pPr>
      <w:r>
        <w:rPr>
          <w:rFonts w:ascii="宋体" w:hAnsi="宋体" w:eastAsia="宋体" w:cs="宋体"/>
          <w:color w:val="333333"/>
          <w:sz w:val="24"/>
          <w:szCs w:val="24"/>
        </w:rPr>
        <w:t>第二十二条 贷款人的权利</w:t>
      </w:r>
    </w:p>
    <w:p>
      <w:pPr>
        <w:spacing w:after="0" w:line="81" w:lineRule="exact"/>
        <w:rPr>
          <w:color w:val="auto"/>
          <w:sz w:val="20"/>
          <w:szCs w:val="20"/>
        </w:rPr>
      </w:pPr>
    </w:p>
    <w:p>
      <w:pPr>
        <w:spacing w:after="0" w:line="310" w:lineRule="exact"/>
        <w:ind w:left="1960" w:right="1598" w:firstLine="480"/>
        <w:rPr>
          <w:color w:val="auto"/>
          <w:sz w:val="20"/>
          <w:szCs w:val="20"/>
        </w:rPr>
      </w:pPr>
      <w:r>
        <w:rPr>
          <w:rFonts w:ascii="宋体" w:hAnsi="宋体" w:eastAsia="宋体" w:cs="宋体"/>
          <w:color w:val="333333"/>
          <w:sz w:val="24"/>
          <w:szCs w:val="24"/>
        </w:rPr>
        <w:t>根据贷款条件和贷款程序自主审查和决定贷款，除国务院批准的特定贷款外，有权拒绝任何单位和个人强令其发放贷款或者提供担保。</w:t>
      </w:r>
    </w:p>
    <w:p>
      <w:pPr>
        <w:spacing w:after="0" w:line="79" w:lineRule="exact"/>
        <w:rPr>
          <w:color w:val="auto"/>
          <w:sz w:val="20"/>
          <w:szCs w:val="20"/>
        </w:rPr>
      </w:pPr>
    </w:p>
    <w:p>
      <w:pPr>
        <w:spacing w:after="0" w:line="274" w:lineRule="exact"/>
        <w:ind w:left="2440"/>
        <w:rPr>
          <w:color w:val="auto"/>
          <w:sz w:val="20"/>
          <w:szCs w:val="20"/>
        </w:rPr>
      </w:pPr>
      <w:r>
        <w:rPr>
          <w:rFonts w:ascii="宋体" w:hAnsi="宋体" w:eastAsia="宋体" w:cs="宋体"/>
          <w:color w:val="333333"/>
          <w:sz w:val="24"/>
          <w:szCs w:val="24"/>
        </w:rPr>
        <w:t>一、要求借款人提供与借款有关的资料；</w:t>
      </w:r>
    </w:p>
    <w:p>
      <w:pPr>
        <w:spacing w:after="0" w:line="60" w:lineRule="exact"/>
        <w:rPr>
          <w:color w:val="auto"/>
          <w:sz w:val="20"/>
          <w:szCs w:val="20"/>
        </w:rPr>
      </w:pPr>
    </w:p>
    <w:p>
      <w:pPr>
        <w:spacing w:after="0" w:line="291" w:lineRule="exact"/>
        <w:ind w:left="2440"/>
        <w:rPr>
          <w:color w:val="auto"/>
          <w:sz w:val="20"/>
          <w:szCs w:val="20"/>
        </w:rPr>
      </w:pPr>
      <w:r>
        <w:rPr>
          <w:rFonts w:ascii="宋体" w:hAnsi="宋体" w:eastAsia="宋体" w:cs="宋体"/>
          <w:color w:val="333333"/>
          <w:sz w:val="24"/>
          <w:szCs w:val="24"/>
        </w:rPr>
        <w:t>二、根据借款人的条件，决定贷与不贷、贷款金额、期限和利率等；</w:t>
      </w:r>
      <w:r>
        <w:rPr>
          <w:rFonts w:ascii="Arial" w:hAnsi="Arial" w:eastAsia="Arial" w:cs="Arial"/>
          <w:color w:val="333333"/>
          <w:sz w:val="24"/>
          <w:szCs w:val="24"/>
        </w:rPr>
        <w:t>…</w:t>
      </w:r>
    </w:p>
    <w:p>
      <w:pPr>
        <w:spacing w:after="0" w:line="56" w:lineRule="exact"/>
        <w:rPr>
          <w:color w:val="auto"/>
          <w:sz w:val="20"/>
          <w:szCs w:val="20"/>
        </w:rPr>
      </w:pPr>
    </w:p>
    <w:p>
      <w:pPr>
        <w:spacing w:after="0" w:line="292" w:lineRule="exact"/>
        <w:ind w:left="2440"/>
        <w:rPr>
          <w:color w:val="auto"/>
          <w:sz w:val="20"/>
          <w:szCs w:val="20"/>
        </w:rPr>
      </w:pPr>
      <w:r>
        <w:rPr>
          <w:rFonts w:ascii="Times New Roman" w:hAnsi="Times New Roman" w:eastAsia="Times New Roman" w:cs="Times New Roman"/>
          <w:b/>
          <w:bCs/>
          <w:color w:val="333333"/>
          <w:sz w:val="24"/>
          <w:szCs w:val="24"/>
        </w:rPr>
        <w:t>1</w:t>
      </w:r>
      <w:r>
        <w:rPr>
          <w:rFonts w:ascii="宋体" w:hAnsi="宋体" w:eastAsia="宋体" w:cs="宋体"/>
          <w:b/>
          <w:bCs/>
          <w:color w:val="333333"/>
          <w:sz w:val="24"/>
          <w:szCs w:val="24"/>
        </w:rPr>
        <w:t>、《国务院关于建立完善守信联合激励和失信联合惩戒制度加快推进社会诚信建设的指导意见》</w:t>
      </w:r>
    </w:p>
    <w:p>
      <w:pPr>
        <w:spacing w:after="0" w:line="25" w:lineRule="exact"/>
        <w:rPr>
          <w:color w:val="auto"/>
          <w:sz w:val="20"/>
          <w:szCs w:val="20"/>
        </w:rPr>
      </w:pPr>
    </w:p>
    <w:p>
      <w:pPr>
        <w:spacing w:after="0" w:line="345" w:lineRule="exact"/>
        <w:ind w:left="180" w:right="178"/>
        <w:rPr>
          <w:color w:val="auto"/>
          <w:sz w:val="20"/>
          <w:szCs w:val="20"/>
        </w:rPr>
      </w:pPr>
      <w:r>
        <w:rPr>
          <w:rFonts w:ascii="Times New Roman" w:hAnsi="Times New Roman" w:eastAsia="Times New Roman" w:cs="Times New Roman"/>
          <w:color w:val="333333"/>
          <w:sz w:val="24"/>
          <w:szCs w:val="24"/>
        </w:rPr>
        <w:t>14</w:t>
      </w:r>
      <w:r>
        <w:rPr>
          <w:rFonts w:ascii="宋体" w:hAnsi="宋体" w:eastAsia="宋体" w:cs="宋体"/>
          <w:color w:val="333333"/>
          <w:sz w:val="24"/>
          <w:szCs w:val="24"/>
        </w:rPr>
        <w:t>、将失信信息 （十）依法依规加强对失信行为的行政性约束和惩戒。对严重失信主体，各地区、各有关部门 国家发展改作为公开发行 应将其列为重点监管对象，依法依规采取行政性约束和惩戒措施。从严审核行政许可审批项目，从 革委、人民</w:t>
      </w:r>
    </w:p>
    <w:p>
      <w:pPr>
        <w:sectPr>
          <w:pgSz w:w="16840" w:h="11906" w:orient="landscape"/>
          <w:pgMar w:top="1440" w:right="1440" w:bottom="808" w:left="1440" w:header="0" w:footer="0" w:gutter="0"/>
          <w:cols w:equalWidth="0" w:num="1">
            <w:col w:w="13958"/>
          </w:cols>
        </w:sectPr>
      </w:pPr>
    </w:p>
    <w:p>
      <w:pPr>
        <w:spacing w:after="0" w:line="106" w:lineRule="exact"/>
        <w:rPr>
          <w:color w:val="auto"/>
          <w:sz w:val="20"/>
          <w:szCs w:val="20"/>
        </w:rPr>
      </w:pPr>
    </w:p>
    <w:p>
      <w:pPr>
        <w:spacing w:after="0"/>
        <w:ind w:right="-1"/>
        <w:jc w:val="center"/>
        <w:rPr>
          <w:color w:val="auto"/>
          <w:sz w:val="20"/>
          <w:szCs w:val="20"/>
        </w:rPr>
      </w:pPr>
      <w:r>
        <w:rPr>
          <w:rFonts w:ascii="Times New Roman" w:hAnsi="Times New Roman" w:eastAsia="Times New Roman" w:cs="Times New Roman"/>
          <w:color w:val="auto"/>
          <w:sz w:val="24"/>
          <w:szCs w:val="24"/>
        </w:rPr>
        <w:t>10</w:t>
      </w:r>
    </w:p>
    <w:p>
      <w:pPr>
        <w:sectPr>
          <w:type w:val="continuous"/>
          <w:pgSz w:w="16840" w:h="11906" w:orient="landscape"/>
          <w:pgMar w:top="1440" w:right="1440" w:bottom="808" w:left="1440" w:header="0" w:footer="0" w:gutter="0"/>
          <w:cols w:equalWidth="0" w:num="1">
            <w:col w:w="13958"/>
          </w:cols>
        </w:sectPr>
      </w:pPr>
    </w:p>
    <w:p>
      <w:pPr>
        <w:spacing w:after="0" w:line="298" w:lineRule="exact"/>
        <w:rPr>
          <w:color w:val="auto"/>
          <w:sz w:val="20"/>
          <w:szCs w:val="20"/>
        </w:rPr>
      </w:pPr>
      <w:bookmarkStart w:id="9" w:name="page17"/>
      <w:bookmarkEnd w:id="9"/>
    </w:p>
    <w:tbl>
      <w:tblPr>
        <w:tblStyle w:val="2"/>
        <w:tblW w:w="0" w:type="auto"/>
        <w:tblInd w:w="70" w:type="dxa"/>
        <w:tblLayout w:type="fixed"/>
        <w:tblCellMar>
          <w:top w:w="0" w:type="dxa"/>
          <w:left w:w="0" w:type="dxa"/>
          <w:bottom w:w="0" w:type="dxa"/>
          <w:right w:w="0" w:type="dxa"/>
        </w:tblCellMar>
      </w:tblPr>
      <w:tblGrid>
        <w:gridCol w:w="1800"/>
        <w:gridCol w:w="10620"/>
        <w:gridCol w:w="1420"/>
      </w:tblGrid>
      <w:tr>
        <w:tblPrEx>
          <w:tblCellMar>
            <w:top w:w="0" w:type="dxa"/>
            <w:left w:w="0" w:type="dxa"/>
            <w:bottom w:w="0" w:type="dxa"/>
            <w:right w:w="0" w:type="dxa"/>
          </w:tblCellMar>
        </w:tblPrEx>
        <w:trPr>
          <w:trHeight w:val="319" w:hRule="atLeast"/>
        </w:trPr>
        <w:tc>
          <w:tcPr>
            <w:tcW w:w="1800" w:type="dxa"/>
            <w:tcBorders>
              <w:top w:val="single" w:color="auto" w:sz="8" w:space="0"/>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公司债券核准</w:t>
            </w:r>
          </w:p>
        </w:tc>
        <w:tc>
          <w:tcPr>
            <w:tcW w:w="10620" w:type="dxa"/>
            <w:tcBorders>
              <w:top w:val="single" w:color="auto" w:sz="8" w:space="0"/>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严控制生产许可证发放，限制新增项目审批、核准，限制股票发行上市融资或发行债券，限制在全</w:t>
            </w:r>
          </w:p>
        </w:tc>
        <w:tc>
          <w:tcPr>
            <w:tcW w:w="1420" w:type="dxa"/>
            <w:tcBorders>
              <w:top w:val="single" w:color="auto" w:sz="8" w:space="0"/>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银行、证监</w:t>
            </w: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w w:val="97"/>
                <w:sz w:val="24"/>
                <w:szCs w:val="24"/>
              </w:rPr>
              <w:t>的重要参考。对</w:t>
            </w:r>
          </w:p>
        </w:tc>
        <w:tc>
          <w:tcPr>
            <w:tcW w:w="1062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国股份转让系统挂牌、融资，限制发起设立或参股金融机构以及小额贷款公司、融资担保公司、创</w:t>
            </w:r>
          </w:p>
        </w:tc>
        <w:tc>
          <w:tcPr>
            <w:tcW w:w="142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会</w:t>
            </w: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失信主体发行</w:t>
            </w:r>
          </w:p>
        </w:tc>
        <w:tc>
          <w:tcPr>
            <w:tcW w:w="10620" w:type="dxa"/>
            <w:tcBorders>
              <w:right w:val="single" w:color="auto" w:sz="8" w:space="0"/>
            </w:tcBorders>
            <w:vAlign w:val="bottom"/>
          </w:tcPr>
          <w:p>
            <w:pPr>
              <w:spacing w:after="0" w:line="291" w:lineRule="exact"/>
              <w:ind w:left="100"/>
              <w:rPr>
                <w:color w:val="auto"/>
                <w:sz w:val="20"/>
                <w:szCs w:val="20"/>
              </w:rPr>
            </w:pPr>
            <w:r>
              <w:rPr>
                <w:rFonts w:ascii="宋体" w:hAnsi="宋体" w:eastAsia="宋体" w:cs="宋体"/>
                <w:color w:val="333333"/>
                <w:sz w:val="24"/>
                <w:szCs w:val="24"/>
              </w:rPr>
              <w:t>业投资公司、互联网融资平台等机构，限制从事互联网信息服务等。</w:t>
            </w:r>
            <w:r>
              <w:rPr>
                <w:rFonts w:ascii="Arial" w:hAnsi="Arial" w:eastAsia="Arial" w:cs="Arial"/>
                <w:color w:val="333333"/>
                <w:sz w:val="24"/>
                <w:szCs w:val="24"/>
              </w:rPr>
              <w:t>…</w:t>
            </w: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64" w:hRule="atLeast"/>
        </w:trPr>
        <w:tc>
          <w:tcPr>
            <w:tcW w:w="180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企业债券从严</w:t>
            </w:r>
          </w:p>
        </w:tc>
        <w:tc>
          <w:tcPr>
            <w:tcW w:w="1062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333333"/>
                <w:sz w:val="24"/>
                <w:szCs w:val="24"/>
              </w:rPr>
              <w:t>2</w:t>
            </w:r>
            <w:r>
              <w:rPr>
                <w:rFonts w:ascii="宋体" w:hAnsi="宋体" w:eastAsia="宋体" w:cs="宋体"/>
                <w:b/>
                <w:bCs/>
                <w:color w:val="333333"/>
                <w:sz w:val="24"/>
                <w:szCs w:val="24"/>
              </w:rPr>
              <w:t>、《中华人民共和国证券法》</w:t>
            </w: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36" w:hRule="atLeast"/>
        </w:trPr>
        <w:tc>
          <w:tcPr>
            <w:tcW w:w="180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w w:val="97"/>
                <w:sz w:val="24"/>
                <w:szCs w:val="24"/>
              </w:rPr>
              <w:t>审核；在银行间</w:t>
            </w:r>
          </w:p>
        </w:tc>
        <w:tc>
          <w:tcPr>
            <w:tcW w:w="10620" w:type="dxa"/>
            <w:tcBorders>
              <w:right w:val="single" w:color="auto" w:sz="8" w:space="0"/>
            </w:tcBorders>
            <w:vAlign w:val="bottom"/>
          </w:tcPr>
          <w:p>
            <w:pPr>
              <w:spacing w:after="0" w:line="291" w:lineRule="exact"/>
              <w:ind w:left="580"/>
              <w:rPr>
                <w:color w:val="auto"/>
                <w:sz w:val="20"/>
                <w:szCs w:val="20"/>
              </w:rPr>
            </w:pPr>
            <w:r>
              <w:rPr>
                <w:rFonts w:ascii="宋体" w:hAnsi="宋体" w:eastAsia="宋体" w:cs="宋体"/>
                <w:color w:val="333333"/>
                <w:sz w:val="24"/>
                <w:szCs w:val="24"/>
              </w:rPr>
              <w:t>第十八条 有下列情形之一的，不得再次公开发行公司债券：</w:t>
            </w:r>
            <w:r>
              <w:rPr>
                <w:rFonts w:ascii="Arial" w:hAnsi="Arial" w:eastAsia="Arial" w:cs="Arial"/>
                <w:color w:val="333333"/>
                <w:sz w:val="24"/>
                <w:szCs w:val="24"/>
              </w:rPr>
              <w:t>…(</w:t>
            </w:r>
            <w:r>
              <w:rPr>
                <w:rFonts w:ascii="宋体" w:hAnsi="宋体" w:eastAsia="宋体" w:cs="宋体"/>
                <w:color w:val="333333"/>
                <w:sz w:val="24"/>
                <w:szCs w:val="24"/>
              </w:rPr>
              <w:t>二</w:t>
            </w:r>
            <w:r>
              <w:rPr>
                <w:rFonts w:ascii="Arial" w:hAnsi="Arial" w:eastAsia="Arial" w:cs="Arial"/>
                <w:color w:val="333333"/>
                <w:sz w:val="24"/>
                <w:szCs w:val="24"/>
              </w:rPr>
              <w:t>)</w:t>
            </w:r>
            <w:r>
              <w:rPr>
                <w:rFonts w:ascii="宋体" w:hAnsi="宋体" w:eastAsia="宋体" w:cs="宋体"/>
                <w:color w:val="333333"/>
                <w:sz w:val="24"/>
                <w:szCs w:val="24"/>
              </w:rPr>
              <w:t>对已公开发行的公司债券或</w:t>
            </w: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53" w:hRule="atLeast"/>
        </w:trPr>
        <w:tc>
          <w:tcPr>
            <w:tcW w:w="180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市场发行非金</w:t>
            </w:r>
          </w:p>
        </w:tc>
        <w:tc>
          <w:tcPr>
            <w:tcW w:w="10620" w:type="dxa"/>
            <w:tcBorders>
              <w:right w:val="single" w:color="auto" w:sz="8" w:space="0"/>
            </w:tcBorders>
            <w:vAlign w:val="bottom"/>
          </w:tcPr>
          <w:p>
            <w:pPr>
              <w:spacing w:after="0" w:line="291" w:lineRule="exact"/>
              <w:ind w:left="100"/>
              <w:rPr>
                <w:color w:val="auto"/>
                <w:sz w:val="20"/>
                <w:szCs w:val="20"/>
              </w:rPr>
            </w:pPr>
            <w:r>
              <w:rPr>
                <w:rFonts w:ascii="宋体" w:hAnsi="宋体" w:eastAsia="宋体" w:cs="宋体"/>
                <w:color w:val="333333"/>
                <w:sz w:val="24"/>
                <w:szCs w:val="24"/>
              </w:rPr>
              <w:t>者其他债务有违约或者延迟支付本息的事实，仍处于继续状态</w:t>
            </w:r>
            <w:r>
              <w:rPr>
                <w:rFonts w:ascii="Arial" w:hAnsi="Arial" w:eastAsia="Arial" w:cs="Arial"/>
                <w:color w:val="333333"/>
                <w:sz w:val="24"/>
                <w:szCs w:val="24"/>
              </w:rPr>
              <w:t>; …</w:t>
            </w: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62" w:hRule="atLeast"/>
        </w:trPr>
        <w:tc>
          <w:tcPr>
            <w:tcW w:w="180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融企业债务融</w:t>
            </w:r>
          </w:p>
        </w:tc>
        <w:tc>
          <w:tcPr>
            <w:tcW w:w="1062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333333"/>
                <w:sz w:val="24"/>
                <w:szCs w:val="24"/>
              </w:rPr>
              <w:t>3</w:t>
            </w:r>
            <w:r>
              <w:rPr>
                <w:rFonts w:ascii="宋体" w:hAnsi="宋体" w:eastAsia="宋体" w:cs="宋体"/>
                <w:b/>
                <w:bCs/>
                <w:color w:val="333333"/>
                <w:sz w:val="24"/>
                <w:szCs w:val="24"/>
              </w:rPr>
              <w:t>、《公司债券发行与交易管理办法》</w:t>
            </w: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39" w:hRule="atLeast"/>
        </w:trPr>
        <w:tc>
          <w:tcPr>
            <w:tcW w:w="180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资工具限制注</w:t>
            </w:r>
          </w:p>
        </w:tc>
        <w:tc>
          <w:tcPr>
            <w:tcW w:w="1062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333333"/>
                <w:sz w:val="24"/>
                <w:szCs w:val="24"/>
              </w:rPr>
              <w:t>第十七条 存在下列情形之一的，不得公开发行公司债券：（一）最近三十六个月内公司财务会</w:t>
            </w: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w w:val="97"/>
                <w:sz w:val="24"/>
                <w:szCs w:val="24"/>
              </w:rPr>
              <w:t>册，并按照注册</w:t>
            </w:r>
          </w:p>
        </w:tc>
        <w:tc>
          <w:tcPr>
            <w:tcW w:w="10620" w:type="dxa"/>
            <w:tcBorders>
              <w:right w:val="single" w:color="auto" w:sz="8" w:space="0"/>
            </w:tcBorders>
            <w:vAlign w:val="bottom"/>
          </w:tcPr>
          <w:p>
            <w:pPr>
              <w:spacing w:after="0" w:line="291" w:lineRule="exact"/>
              <w:ind w:left="100"/>
              <w:rPr>
                <w:color w:val="auto"/>
                <w:sz w:val="20"/>
                <w:szCs w:val="20"/>
              </w:rPr>
            </w:pPr>
            <w:r>
              <w:rPr>
                <w:rFonts w:ascii="宋体" w:hAnsi="宋体" w:eastAsia="宋体" w:cs="宋体"/>
                <w:color w:val="333333"/>
                <w:sz w:val="24"/>
                <w:szCs w:val="24"/>
              </w:rPr>
              <w:t>计文件存在虚假记载，或公司存在其他重大违法行为；</w:t>
            </w:r>
            <w:r>
              <w:rPr>
                <w:rFonts w:ascii="Arial" w:hAnsi="Arial" w:eastAsia="Arial" w:cs="Arial"/>
                <w:color w:val="333333"/>
                <w:sz w:val="24"/>
                <w:szCs w:val="24"/>
              </w:rPr>
              <w:t>…</w:t>
            </w:r>
            <w:r>
              <w:rPr>
                <w:rFonts w:ascii="宋体" w:hAnsi="宋体" w:eastAsia="宋体" w:cs="宋体"/>
                <w:color w:val="333333"/>
                <w:sz w:val="24"/>
                <w:szCs w:val="24"/>
              </w:rPr>
              <w:t>（三）对已发行的公司债券或者其他债务</w:t>
            </w: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发行有关工作</w:t>
            </w:r>
          </w:p>
        </w:tc>
        <w:tc>
          <w:tcPr>
            <w:tcW w:w="1062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有违约或者迟延支付本息的事实，仍处于继续状态；（四）严重损害投资者合法权益和社会公共利</w:t>
            </w: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w w:val="97"/>
                <w:sz w:val="24"/>
                <w:szCs w:val="24"/>
              </w:rPr>
              <w:t>要求，强化信息</w:t>
            </w:r>
          </w:p>
        </w:tc>
        <w:tc>
          <w:tcPr>
            <w:tcW w:w="1062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益的其他情形。</w:t>
            </w: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64" w:hRule="atLeast"/>
        </w:trPr>
        <w:tc>
          <w:tcPr>
            <w:tcW w:w="180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w w:val="97"/>
                <w:sz w:val="24"/>
                <w:szCs w:val="24"/>
              </w:rPr>
              <w:t>披露，加强投资</w:t>
            </w:r>
          </w:p>
        </w:tc>
        <w:tc>
          <w:tcPr>
            <w:tcW w:w="1062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333333"/>
                <w:sz w:val="24"/>
                <w:szCs w:val="24"/>
              </w:rPr>
              <w:t>4</w:t>
            </w:r>
            <w:r>
              <w:rPr>
                <w:rFonts w:ascii="宋体" w:hAnsi="宋体" w:eastAsia="宋体" w:cs="宋体"/>
                <w:b/>
                <w:bCs/>
                <w:color w:val="333333"/>
                <w:sz w:val="24"/>
                <w:szCs w:val="24"/>
              </w:rPr>
              <w:t>、《</w:t>
            </w:r>
            <w:r>
              <w:rPr>
                <w:rFonts w:ascii="宋体" w:hAnsi="宋体" w:eastAsia="宋体" w:cs="宋体"/>
                <w:b/>
                <w:bCs/>
                <w:color w:val="000000"/>
                <w:sz w:val="24"/>
                <w:szCs w:val="24"/>
              </w:rPr>
              <w:t>国家发展改革委办公厅关于进一步改进企业债券发行审核工作的通知</w:t>
            </w:r>
            <w:r>
              <w:rPr>
                <w:rFonts w:ascii="宋体" w:hAnsi="宋体" w:eastAsia="宋体" w:cs="宋体"/>
                <w:b/>
                <w:bCs/>
                <w:color w:val="333333"/>
                <w:sz w:val="24"/>
                <w:szCs w:val="24"/>
              </w:rPr>
              <w:t>》</w:t>
            </w: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36" w:hRule="atLeast"/>
        </w:trPr>
        <w:tc>
          <w:tcPr>
            <w:tcW w:w="180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者保护机制管</w:t>
            </w:r>
          </w:p>
        </w:tc>
        <w:tc>
          <w:tcPr>
            <w:tcW w:w="1062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333333"/>
                <w:sz w:val="24"/>
                <w:szCs w:val="24"/>
              </w:rPr>
              <w:t>对于以下两类发债申请，要从严审核，有效防范市场风险。</w:t>
            </w: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w w:val="97"/>
                <w:sz w:val="24"/>
                <w:szCs w:val="24"/>
              </w:rPr>
              <w:t>理，防范有关风</w:t>
            </w:r>
          </w:p>
        </w:tc>
        <w:tc>
          <w:tcPr>
            <w:tcW w:w="10620" w:type="dxa"/>
            <w:tcBorders>
              <w:right w:val="single" w:color="auto" w:sz="8" w:space="0"/>
            </w:tcBorders>
            <w:vAlign w:val="bottom"/>
          </w:tcPr>
          <w:p>
            <w:pPr>
              <w:spacing w:after="0" w:line="274" w:lineRule="exact"/>
              <w:ind w:left="400"/>
              <w:rPr>
                <w:color w:val="auto"/>
                <w:sz w:val="20"/>
                <w:szCs w:val="20"/>
              </w:rPr>
            </w:pPr>
            <w:r>
              <w:rPr>
                <w:rFonts w:ascii="宋体" w:hAnsi="宋体" w:eastAsia="宋体" w:cs="宋体"/>
                <w:color w:val="333333"/>
                <w:sz w:val="24"/>
                <w:szCs w:val="24"/>
              </w:rPr>
              <w:t>（一）募集资金用于产能过剩、高污染、高耗能等国家产业政策限制领域的发债申请</w:t>
            </w: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险。</w:t>
            </w:r>
          </w:p>
        </w:tc>
        <w:tc>
          <w:tcPr>
            <w:tcW w:w="10620" w:type="dxa"/>
            <w:tcBorders>
              <w:right w:val="single" w:color="auto" w:sz="8" w:space="0"/>
            </w:tcBorders>
            <w:vAlign w:val="bottom"/>
          </w:tcPr>
          <w:p>
            <w:pPr>
              <w:spacing w:after="0" w:line="274" w:lineRule="exact"/>
              <w:ind w:left="400"/>
              <w:rPr>
                <w:color w:val="auto"/>
                <w:sz w:val="20"/>
                <w:szCs w:val="20"/>
              </w:rPr>
            </w:pPr>
            <w:r>
              <w:rPr>
                <w:rFonts w:ascii="宋体" w:hAnsi="宋体" w:eastAsia="宋体" w:cs="宋体"/>
                <w:color w:val="333333"/>
                <w:sz w:val="24"/>
                <w:szCs w:val="24"/>
              </w:rPr>
              <w:t>（二）企业信用等级较低，负债率高，债券余额较大或运作不规范、资产不实、偿债措施较弱的</w:t>
            </w: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发债申请</w:t>
            </w: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67"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92" w:lineRule="exact"/>
              <w:ind w:left="580"/>
              <w:rPr>
                <w:color w:val="auto"/>
                <w:sz w:val="20"/>
                <w:szCs w:val="20"/>
              </w:rPr>
            </w:pPr>
            <w:r>
              <w:rPr>
                <w:rFonts w:ascii="Arial" w:hAnsi="Arial" w:eastAsia="Arial" w:cs="Arial"/>
                <w:color w:val="333333"/>
                <w:sz w:val="24"/>
                <w:szCs w:val="24"/>
              </w:rPr>
              <w:t>…</w:t>
            </w:r>
            <w:r>
              <w:rPr>
                <w:rFonts w:ascii="Times New Roman" w:hAnsi="Times New Roman" w:eastAsia="Times New Roman" w:cs="Times New Roman"/>
                <w:color w:val="333333"/>
                <w:sz w:val="24"/>
                <w:szCs w:val="24"/>
              </w:rPr>
              <w:t>2</w:t>
            </w:r>
            <w:r>
              <w:rPr>
                <w:rFonts w:ascii="宋体" w:hAnsi="宋体" w:eastAsia="宋体" w:cs="宋体"/>
                <w:color w:val="333333"/>
                <w:sz w:val="24"/>
                <w:szCs w:val="24"/>
              </w:rPr>
              <w:t>、企业及所在地地方政府或为其提供承销服务的券商有不尽职或不诚信记录。</w:t>
            </w:r>
            <w:r>
              <w:rPr>
                <w:rFonts w:ascii="Arial" w:hAnsi="Arial" w:eastAsia="Arial" w:cs="Arial"/>
                <w:color w:val="333333"/>
                <w:sz w:val="24"/>
                <w:szCs w:val="24"/>
              </w:rPr>
              <w:t>…</w:t>
            </w: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auto"/>
                <w:sz w:val="24"/>
                <w:szCs w:val="24"/>
              </w:rPr>
              <w:t>5</w:t>
            </w:r>
            <w:r>
              <w:rPr>
                <w:rFonts w:ascii="宋体" w:hAnsi="宋体" w:eastAsia="宋体" w:cs="宋体"/>
                <w:b/>
                <w:bCs/>
                <w:color w:val="auto"/>
                <w:sz w:val="24"/>
                <w:szCs w:val="24"/>
              </w:rPr>
              <w:t>、《银行间债券市场非金融企业债务融资工具管理办法》</w:t>
            </w: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36"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333333"/>
                <w:sz w:val="24"/>
                <w:szCs w:val="24"/>
              </w:rPr>
              <w:t>第十三条 交易商协会依据本办法及中国人民银行相关规定对债务融资工具的发行与交易实施</w:t>
            </w: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自律管理。交易商协会应根据本办法制定相关自律管理规则，并报中国人民银行备案。</w:t>
            </w: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333333"/>
                <w:sz w:val="24"/>
                <w:szCs w:val="24"/>
              </w:rPr>
              <w:t>第十七条 交易商协会对违反自律管理规则的机构和人员，可采取警告、诫勉谈话、公开谴责等</w:t>
            </w: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措施进行处理。</w:t>
            </w: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333333"/>
                <w:sz w:val="24"/>
                <w:szCs w:val="24"/>
              </w:rPr>
              <w:t>第十八条  中国人民银行依法对交易商协会、同业拆借中心和中央结算公司进行监督管理。</w:t>
            </w: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90" w:hRule="atLeast"/>
        </w:trPr>
        <w:tc>
          <w:tcPr>
            <w:tcW w:w="1800" w:type="dxa"/>
            <w:tcBorders>
              <w:left w:val="single" w:color="auto" w:sz="8" w:space="0"/>
              <w:bottom w:val="single" w:color="auto" w:sz="8" w:space="0"/>
              <w:right w:val="single" w:color="auto" w:sz="8" w:space="0"/>
            </w:tcBorders>
            <w:vAlign w:val="bottom"/>
          </w:tcPr>
          <w:p>
            <w:pPr>
              <w:spacing w:after="0"/>
              <w:rPr>
                <w:color w:val="auto"/>
                <w:sz w:val="24"/>
                <w:szCs w:val="24"/>
              </w:rPr>
            </w:pPr>
          </w:p>
        </w:tc>
        <w:tc>
          <w:tcPr>
            <w:tcW w:w="10620" w:type="dxa"/>
            <w:tcBorders>
              <w:bottom w:val="single" w:color="auto" w:sz="8" w:space="0"/>
              <w:right w:val="single" w:color="auto" w:sz="8" w:space="0"/>
            </w:tcBorders>
            <w:vAlign w:val="bottom"/>
          </w:tcPr>
          <w:p>
            <w:pPr>
              <w:spacing w:after="0"/>
              <w:rPr>
                <w:color w:val="auto"/>
                <w:sz w:val="24"/>
                <w:szCs w:val="24"/>
              </w:rPr>
            </w:pPr>
          </w:p>
        </w:tc>
        <w:tc>
          <w:tcPr>
            <w:tcW w:w="1420" w:type="dxa"/>
            <w:tcBorders>
              <w:bottom w:val="single" w:color="auto" w:sz="8" w:space="0"/>
              <w:right w:val="single" w:color="auto" w:sz="8" w:space="0"/>
            </w:tcBorders>
            <w:vAlign w:val="bottom"/>
          </w:tcPr>
          <w:p>
            <w:pPr>
              <w:spacing w:after="0"/>
              <w:rPr>
                <w:color w:val="auto"/>
                <w:sz w:val="24"/>
                <w:szCs w:val="24"/>
              </w:rPr>
            </w:pPr>
          </w:p>
        </w:tc>
      </w:tr>
    </w:tbl>
    <w:p>
      <w:pPr>
        <w:spacing w:after="0" w:line="67" w:lineRule="exact"/>
        <w:rPr>
          <w:color w:val="auto"/>
          <w:sz w:val="20"/>
          <w:szCs w:val="20"/>
        </w:rPr>
      </w:pPr>
    </w:p>
    <w:p>
      <w:pPr>
        <w:sectPr>
          <w:pgSz w:w="16840" w:h="11906" w:orient="landscape"/>
          <w:pgMar w:top="1440" w:right="1440" w:bottom="808" w:left="1440" w:header="0" w:footer="0" w:gutter="0"/>
          <w:cols w:equalWidth="0" w:num="1">
            <w:col w:w="13958"/>
          </w:cols>
        </w:sectPr>
      </w:pPr>
    </w:p>
    <w:p>
      <w:pPr>
        <w:spacing w:after="0"/>
        <w:ind w:right="-1"/>
        <w:jc w:val="center"/>
        <w:rPr>
          <w:color w:val="auto"/>
          <w:sz w:val="20"/>
          <w:szCs w:val="20"/>
        </w:rPr>
      </w:pPr>
      <w:r>
        <w:rPr>
          <w:rFonts w:ascii="Times New Roman" w:hAnsi="Times New Roman" w:eastAsia="Times New Roman" w:cs="Times New Roman"/>
          <w:color w:val="auto"/>
          <w:sz w:val="24"/>
          <w:szCs w:val="24"/>
        </w:rPr>
        <w:t>11</w:t>
      </w:r>
    </w:p>
    <w:p>
      <w:pPr>
        <w:sectPr>
          <w:type w:val="continuous"/>
          <w:pgSz w:w="16840" w:h="11906" w:orient="landscape"/>
          <w:pgMar w:top="1440" w:right="1440" w:bottom="808" w:left="1440" w:header="0" w:footer="0" w:gutter="0"/>
          <w:cols w:equalWidth="0" w:num="1">
            <w:col w:w="13958"/>
          </w:cols>
        </w:sectPr>
      </w:pPr>
    </w:p>
    <w:p>
      <w:pPr>
        <w:spacing w:after="0" w:line="298" w:lineRule="exact"/>
        <w:rPr>
          <w:color w:val="auto"/>
          <w:sz w:val="20"/>
          <w:szCs w:val="20"/>
        </w:rPr>
      </w:pPr>
      <w:bookmarkStart w:id="10" w:name="page18"/>
      <w:bookmarkEnd w:id="10"/>
    </w:p>
    <w:tbl>
      <w:tblPr>
        <w:tblStyle w:val="2"/>
        <w:tblW w:w="0" w:type="auto"/>
        <w:tblInd w:w="70" w:type="dxa"/>
        <w:tblLayout w:type="fixed"/>
        <w:tblCellMar>
          <w:top w:w="0" w:type="dxa"/>
          <w:left w:w="0" w:type="dxa"/>
          <w:bottom w:w="0" w:type="dxa"/>
          <w:right w:w="0" w:type="dxa"/>
        </w:tblCellMar>
      </w:tblPr>
      <w:tblGrid>
        <w:gridCol w:w="1800"/>
        <w:gridCol w:w="10620"/>
        <w:gridCol w:w="1420"/>
        <w:gridCol w:w="360"/>
      </w:tblGrid>
      <w:tr>
        <w:tblPrEx>
          <w:tblCellMar>
            <w:top w:w="0" w:type="dxa"/>
            <w:left w:w="0" w:type="dxa"/>
            <w:bottom w:w="0" w:type="dxa"/>
            <w:right w:w="0" w:type="dxa"/>
          </w:tblCellMar>
        </w:tblPrEx>
        <w:trPr>
          <w:trHeight w:val="333" w:hRule="atLeast"/>
        </w:trPr>
        <w:tc>
          <w:tcPr>
            <w:tcW w:w="1800" w:type="dxa"/>
            <w:tcBorders>
              <w:top w:val="single" w:color="auto" w:sz="8" w:space="0"/>
              <w:left w:val="single" w:color="auto" w:sz="8" w:space="0"/>
              <w:right w:val="single" w:color="auto" w:sz="8" w:space="0"/>
            </w:tcBorders>
            <w:vAlign w:val="bottom"/>
          </w:tcPr>
          <w:p>
            <w:pPr>
              <w:spacing w:after="0"/>
              <w:rPr>
                <w:color w:val="auto"/>
                <w:sz w:val="24"/>
                <w:szCs w:val="24"/>
              </w:rPr>
            </w:pPr>
          </w:p>
        </w:tc>
        <w:tc>
          <w:tcPr>
            <w:tcW w:w="10620" w:type="dxa"/>
            <w:tcBorders>
              <w:top w:val="single" w:color="auto" w:sz="8" w:space="0"/>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333333"/>
                <w:sz w:val="24"/>
                <w:szCs w:val="24"/>
              </w:rPr>
              <w:t>1</w:t>
            </w:r>
            <w:r>
              <w:rPr>
                <w:rFonts w:ascii="宋体" w:hAnsi="宋体" w:eastAsia="宋体" w:cs="宋体"/>
                <w:b/>
                <w:bCs/>
                <w:color w:val="333333"/>
                <w:sz w:val="24"/>
                <w:szCs w:val="24"/>
              </w:rPr>
              <w:t>、《中华人民共和国证券法》</w:t>
            </w:r>
          </w:p>
        </w:tc>
        <w:tc>
          <w:tcPr>
            <w:tcW w:w="1420" w:type="dxa"/>
            <w:tcBorders>
              <w:top w:val="single" w:color="auto" w:sz="8" w:space="0"/>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36"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91" w:lineRule="exact"/>
              <w:ind w:left="680"/>
              <w:rPr>
                <w:color w:val="auto"/>
                <w:sz w:val="20"/>
                <w:szCs w:val="20"/>
              </w:rPr>
            </w:pPr>
            <w:r>
              <w:rPr>
                <w:rFonts w:ascii="宋体" w:hAnsi="宋体" w:eastAsia="宋体" w:cs="宋体"/>
                <w:color w:val="333333"/>
                <w:sz w:val="24"/>
                <w:szCs w:val="24"/>
              </w:rPr>
              <w:t>第十三条 公司公开发行新股，应当符合下列条件</w:t>
            </w:r>
            <w:r>
              <w:rPr>
                <w:rFonts w:ascii="Arial" w:hAnsi="Arial" w:eastAsia="Arial" w:cs="Arial"/>
                <w:color w:val="333333"/>
                <w:sz w:val="24"/>
                <w:szCs w:val="24"/>
              </w:rPr>
              <w:t>:</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91" w:lineRule="exact"/>
              <w:ind w:left="640"/>
              <w:rPr>
                <w:color w:val="auto"/>
                <w:sz w:val="20"/>
                <w:szCs w:val="20"/>
              </w:rPr>
            </w:pPr>
            <w:r>
              <w:rPr>
                <w:rFonts w:ascii="Arial" w:hAnsi="Arial" w:eastAsia="Arial" w:cs="Arial"/>
                <w:color w:val="333333"/>
                <w:sz w:val="24"/>
                <w:szCs w:val="24"/>
              </w:rPr>
              <w:t xml:space="preserve">… </w:t>
            </w:r>
            <w:r>
              <w:rPr>
                <w:rFonts w:ascii="宋体" w:hAnsi="宋体" w:eastAsia="宋体" w:cs="宋体"/>
                <w:color w:val="333333"/>
                <w:sz w:val="24"/>
                <w:szCs w:val="24"/>
              </w:rPr>
              <w:t>（三）最近三年财务会计文件无虚假记载，无其他重大违法行为；</w:t>
            </w:r>
            <w:r>
              <w:rPr>
                <w:rFonts w:ascii="Arial" w:hAnsi="Arial" w:eastAsia="Arial" w:cs="Arial"/>
                <w:color w:val="333333"/>
                <w:sz w:val="24"/>
                <w:szCs w:val="24"/>
              </w:rPr>
              <w:t>…</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64"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333333"/>
                <w:sz w:val="24"/>
                <w:szCs w:val="24"/>
              </w:rPr>
              <w:t>2</w:t>
            </w:r>
            <w:r>
              <w:rPr>
                <w:rFonts w:ascii="宋体" w:hAnsi="宋体" w:eastAsia="宋体" w:cs="宋体"/>
                <w:b/>
                <w:bCs/>
                <w:color w:val="333333"/>
                <w:sz w:val="24"/>
                <w:szCs w:val="24"/>
              </w:rPr>
              <w:t>、《首次公开发行股票并上市管理办法》</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36"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333333"/>
                <w:sz w:val="24"/>
                <w:szCs w:val="24"/>
              </w:rPr>
              <w:t>第十八条 发行人不得有下列情形：</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67"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92" w:lineRule="exact"/>
              <w:ind w:left="580"/>
              <w:rPr>
                <w:color w:val="auto"/>
                <w:sz w:val="20"/>
                <w:szCs w:val="20"/>
              </w:rPr>
            </w:pPr>
            <w:r>
              <w:rPr>
                <w:rFonts w:ascii="Arial" w:hAnsi="Arial" w:eastAsia="Arial" w:cs="Arial"/>
                <w:color w:val="333333"/>
                <w:sz w:val="24"/>
                <w:szCs w:val="24"/>
              </w:rPr>
              <w:t>…</w:t>
            </w:r>
            <w:r>
              <w:rPr>
                <w:rFonts w:ascii="宋体" w:hAnsi="宋体" w:eastAsia="宋体" w:cs="宋体"/>
                <w:color w:val="333333"/>
                <w:sz w:val="24"/>
                <w:szCs w:val="24"/>
              </w:rPr>
              <w:t>（二） 最近</w:t>
            </w:r>
            <w:r>
              <w:rPr>
                <w:rFonts w:ascii="Arial" w:hAnsi="Arial" w:eastAsia="Arial" w:cs="Arial"/>
                <w:color w:val="333333"/>
                <w:sz w:val="24"/>
                <w:szCs w:val="24"/>
              </w:rPr>
              <w:t xml:space="preserve"> </w:t>
            </w:r>
            <w:r>
              <w:rPr>
                <w:rFonts w:ascii="Times New Roman" w:hAnsi="Times New Roman" w:eastAsia="Times New Roman" w:cs="Times New Roman"/>
                <w:color w:val="333333"/>
                <w:sz w:val="24"/>
                <w:szCs w:val="24"/>
              </w:rPr>
              <w:t>36</w:t>
            </w:r>
            <w:r>
              <w:rPr>
                <w:rFonts w:ascii="Arial" w:hAnsi="Arial" w:eastAsia="Arial" w:cs="Arial"/>
                <w:color w:val="333333"/>
                <w:sz w:val="24"/>
                <w:szCs w:val="24"/>
              </w:rPr>
              <w:t xml:space="preserve">  </w:t>
            </w:r>
            <w:r>
              <w:rPr>
                <w:rFonts w:ascii="宋体" w:hAnsi="宋体" w:eastAsia="宋体" w:cs="宋体"/>
                <w:color w:val="333333"/>
                <w:sz w:val="24"/>
                <w:szCs w:val="24"/>
              </w:rPr>
              <w:t>个月内违反工商、税收、土地、环保、海关以及其他法律、行政法规，受到</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34"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91" w:lineRule="exact"/>
              <w:ind w:left="100"/>
              <w:rPr>
                <w:color w:val="auto"/>
                <w:sz w:val="20"/>
                <w:szCs w:val="20"/>
              </w:rPr>
            </w:pPr>
            <w:r>
              <w:rPr>
                <w:rFonts w:ascii="宋体" w:hAnsi="宋体" w:eastAsia="宋体" w:cs="宋体"/>
                <w:color w:val="333333"/>
                <w:sz w:val="24"/>
                <w:szCs w:val="24"/>
              </w:rPr>
              <w:t>行政处罚，且情节严重；</w:t>
            </w:r>
            <w:r>
              <w:rPr>
                <w:rFonts w:ascii="Arial" w:hAnsi="Arial" w:eastAsia="Arial" w:cs="Arial"/>
                <w:color w:val="333333"/>
                <w:sz w:val="24"/>
                <w:szCs w:val="24"/>
              </w:rPr>
              <w:t>…</w:t>
            </w:r>
            <w:r>
              <w:rPr>
                <w:rFonts w:ascii="宋体" w:hAnsi="宋体" w:eastAsia="宋体" w:cs="宋体"/>
                <w:color w:val="333333"/>
                <w:sz w:val="24"/>
                <w:szCs w:val="24"/>
              </w:rPr>
              <w:t>（六）严重损害投资者合法权益和社会公共利益的其他情形。</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67"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333333"/>
                <w:sz w:val="24"/>
                <w:szCs w:val="24"/>
              </w:rPr>
              <w:t>3</w:t>
            </w:r>
            <w:r>
              <w:rPr>
                <w:rFonts w:ascii="宋体" w:hAnsi="宋体" w:eastAsia="宋体" w:cs="宋体"/>
                <w:b/>
                <w:bCs/>
                <w:color w:val="333333"/>
                <w:sz w:val="24"/>
                <w:szCs w:val="24"/>
              </w:rPr>
              <w:t>、《首次公开发行股票并在创业板上市管理办法》</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line="292" w:lineRule="exact"/>
              <w:ind w:left="120"/>
              <w:rPr>
                <w:color w:val="auto"/>
                <w:sz w:val="20"/>
                <w:szCs w:val="20"/>
              </w:rPr>
            </w:pPr>
            <w:r>
              <w:rPr>
                <w:rFonts w:ascii="Times New Roman" w:hAnsi="Times New Roman" w:eastAsia="Times New Roman" w:cs="Times New Roman"/>
                <w:color w:val="333333"/>
                <w:w w:val="97"/>
                <w:sz w:val="24"/>
                <w:szCs w:val="24"/>
              </w:rPr>
              <w:t>15</w:t>
            </w:r>
            <w:r>
              <w:rPr>
                <w:rFonts w:ascii="宋体" w:hAnsi="宋体" w:eastAsia="宋体" w:cs="宋体"/>
                <w:color w:val="333333"/>
                <w:w w:val="97"/>
                <w:sz w:val="24"/>
                <w:szCs w:val="24"/>
              </w:rPr>
              <w:t>、将失信信息</w:t>
            </w:r>
          </w:p>
        </w:tc>
        <w:tc>
          <w:tcPr>
            <w:tcW w:w="1062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333333"/>
                <w:sz w:val="24"/>
                <w:szCs w:val="24"/>
              </w:rPr>
              <w:t>第二十条 发行人及其控股股东、实际控制人最近三年内不存在损害投资者合法权益和社会公共</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36" w:hRule="atLeast"/>
        </w:trPr>
        <w:tc>
          <w:tcPr>
            <w:tcW w:w="180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作为股票发行</w:t>
            </w:r>
          </w:p>
        </w:tc>
        <w:tc>
          <w:tcPr>
            <w:tcW w:w="10620" w:type="dxa"/>
            <w:tcBorders>
              <w:right w:val="single" w:color="auto" w:sz="8" w:space="0"/>
            </w:tcBorders>
            <w:vAlign w:val="bottom"/>
          </w:tcPr>
          <w:p>
            <w:pPr>
              <w:spacing w:after="0" w:line="291" w:lineRule="exact"/>
              <w:ind w:left="100"/>
              <w:rPr>
                <w:color w:val="auto"/>
                <w:sz w:val="20"/>
                <w:szCs w:val="20"/>
              </w:rPr>
            </w:pPr>
            <w:r>
              <w:rPr>
                <w:rFonts w:ascii="宋体" w:hAnsi="宋体" w:eastAsia="宋体" w:cs="宋体"/>
                <w:color w:val="333333"/>
                <w:sz w:val="24"/>
                <w:szCs w:val="24"/>
              </w:rPr>
              <w:t>利益的重大违法行为。</w:t>
            </w:r>
            <w:r>
              <w:rPr>
                <w:rFonts w:ascii="Arial" w:hAnsi="Arial" w:eastAsia="Arial" w:cs="Arial"/>
                <w:color w:val="333333"/>
                <w:sz w:val="24"/>
                <w:szCs w:val="24"/>
              </w:rPr>
              <w:t>…</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64" w:hRule="atLeast"/>
        </w:trPr>
        <w:tc>
          <w:tcPr>
            <w:tcW w:w="180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审核及在全国</w:t>
            </w:r>
          </w:p>
        </w:tc>
        <w:tc>
          <w:tcPr>
            <w:tcW w:w="1062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333333"/>
                <w:sz w:val="24"/>
                <w:szCs w:val="24"/>
              </w:rPr>
              <w:t>4</w:t>
            </w:r>
            <w:r>
              <w:rPr>
                <w:rFonts w:ascii="宋体" w:hAnsi="宋体" w:eastAsia="宋体" w:cs="宋体"/>
                <w:b/>
                <w:bCs/>
                <w:color w:val="333333"/>
                <w:sz w:val="24"/>
                <w:szCs w:val="24"/>
              </w:rPr>
              <w:t>、《上市公司证券发行管理办法》</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36" w:hRule="atLeast"/>
        </w:trPr>
        <w:tc>
          <w:tcPr>
            <w:tcW w:w="180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中小企业股份</w:t>
            </w:r>
          </w:p>
        </w:tc>
        <w:tc>
          <w:tcPr>
            <w:tcW w:w="10620" w:type="dxa"/>
            <w:tcBorders>
              <w:right w:val="single" w:color="auto" w:sz="8" w:space="0"/>
            </w:tcBorders>
            <w:vAlign w:val="bottom"/>
          </w:tcPr>
          <w:p>
            <w:pPr>
              <w:spacing w:after="0" w:line="291" w:lineRule="exact"/>
              <w:ind w:left="580"/>
              <w:rPr>
                <w:color w:val="auto"/>
                <w:sz w:val="20"/>
                <w:szCs w:val="20"/>
              </w:rPr>
            </w:pPr>
            <w:r>
              <w:rPr>
                <w:rFonts w:ascii="宋体" w:hAnsi="宋体" w:eastAsia="宋体" w:cs="宋体"/>
                <w:color w:val="333333"/>
                <w:w w:val="98"/>
                <w:sz w:val="24"/>
                <w:szCs w:val="24"/>
              </w:rPr>
              <w:t>第九条 上市公司三十六个月内财务会计文件无虚假记载，且不存在下列重大违法行为：</w:t>
            </w:r>
            <w:r>
              <w:rPr>
                <w:rFonts w:ascii="Arial" w:hAnsi="Arial" w:eastAsia="Arial" w:cs="Arial"/>
                <w:color w:val="333333"/>
                <w:w w:val="98"/>
                <w:sz w:val="24"/>
                <w:szCs w:val="24"/>
              </w:rPr>
              <w:t>…</w:t>
            </w:r>
            <w:r>
              <w:rPr>
                <w:rFonts w:ascii="宋体" w:hAnsi="宋体" w:eastAsia="宋体" w:cs="宋体"/>
                <w:color w:val="333333"/>
                <w:w w:val="98"/>
                <w:sz w:val="24"/>
                <w:szCs w:val="24"/>
              </w:rPr>
              <w:t>（二）</w:t>
            </w:r>
          </w:p>
        </w:tc>
        <w:tc>
          <w:tcPr>
            <w:tcW w:w="1420" w:type="dxa"/>
            <w:vMerge w:val="restart"/>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证监会</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5" w:hRule="atLeast"/>
        </w:trPr>
        <w:tc>
          <w:tcPr>
            <w:tcW w:w="1800" w:type="dxa"/>
            <w:vMerge w:val="restart"/>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转让系统公开</w:t>
            </w:r>
          </w:p>
        </w:tc>
        <w:tc>
          <w:tcPr>
            <w:tcW w:w="10620" w:type="dxa"/>
            <w:vMerge w:val="restart"/>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违反工商、税收、土地、环保、海关法律、行政法规或规章，受到行政处罚且情节严重，或者受到</w:t>
            </w:r>
          </w:p>
        </w:tc>
        <w:tc>
          <w:tcPr>
            <w:tcW w:w="1420" w:type="dxa"/>
            <w:vMerge w:val="continue"/>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5" w:hRule="atLeast"/>
        </w:trPr>
        <w:tc>
          <w:tcPr>
            <w:tcW w:w="1800" w:type="dxa"/>
            <w:vMerge w:val="continue"/>
            <w:tcBorders>
              <w:left w:val="single" w:color="auto" w:sz="8" w:space="0"/>
              <w:right w:val="single" w:color="auto" w:sz="8" w:space="0"/>
            </w:tcBorders>
            <w:vAlign w:val="bottom"/>
          </w:tcPr>
          <w:p>
            <w:pPr>
              <w:spacing w:after="0"/>
              <w:rPr>
                <w:color w:val="auto"/>
                <w:sz w:val="15"/>
                <w:szCs w:val="15"/>
              </w:rPr>
            </w:pPr>
          </w:p>
        </w:tc>
        <w:tc>
          <w:tcPr>
            <w:tcW w:w="10620" w:type="dxa"/>
            <w:vMerge w:val="continue"/>
            <w:tcBorders>
              <w:right w:val="single" w:color="auto" w:sz="8" w:space="0"/>
            </w:tcBorders>
            <w:vAlign w:val="bottom"/>
          </w:tcPr>
          <w:p>
            <w:pPr>
              <w:spacing w:after="0"/>
              <w:rPr>
                <w:color w:val="auto"/>
                <w:sz w:val="15"/>
                <w:szCs w:val="15"/>
              </w:rPr>
            </w:pPr>
          </w:p>
        </w:tc>
        <w:tc>
          <w:tcPr>
            <w:tcW w:w="1420" w:type="dxa"/>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转让审核的参</w:t>
            </w:r>
          </w:p>
        </w:tc>
        <w:tc>
          <w:tcPr>
            <w:tcW w:w="1062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刑事处罚；（三）违反国家其他法律、行政法规且情节严重的行为。</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64" w:hRule="atLeast"/>
        </w:trPr>
        <w:tc>
          <w:tcPr>
            <w:tcW w:w="180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考。</w:t>
            </w:r>
          </w:p>
        </w:tc>
        <w:tc>
          <w:tcPr>
            <w:tcW w:w="1062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333333"/>
                <w:sz w:val="24"/>
                <w:szCs w:val="24"/>
              </w:rPr>
              <w:t>5</w:t>
            </w:r>
            <w:r>
              <w:rPr>
                <w:rFonts w:ascii="宋体" w:hAnsi="宋体" w:eastAsia="宋体" w:cs="宋体"/>
                <w:b/>
                <w:bCs/>
                <w:color w:val="333333"/>
                <w:sz w:val="24"/>
                <w:szCs w:val="24"/>
              </w:rPr>
              <w:t>、《创业板上市公司证券发行管理暂行办法》</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36"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91" w:lineRule="exact"/>
              <w:ind w:left="580"/>
              <w:rPr>
                <w:color w:val="auto"/>
                <w:sz w:val="20"/>
                <w:szCs w:val="20"/>
              </w:rPr>
            </w:pPr>
            <w:r>
              <w:rPr>
                <w:rFonts w:ascii="宋体" w:hAnsi="宋体" w:eastAsia="宋体" w:cs="宋体"/>
                <w:color w:val="333333"/>
                <w:w w:val="98"/>
                <w:sz w:val="24"/>
                <w:szCs w:val="24"/>
              </w:rPr>
              <w:t>第十条 上市公司存在下列情形之一的，不得发行证券：</w:t>
            </w:r>
            <w:r>
              <w:rPr>
                <w:rFonts w:ascii="Arial" w:hAnsi="Arial" w:eastAsia="Arial" w:cs="Arial"/>
                <w:color w:val="333333"/>
                <w:w w:val="98"/>
                <w:sz w:val="24"/>
                <w:szCs w:val="24"/>
              </w:rPr>
              <w:t>…</w:t>
            </w:r>
            <w:r>
              <w:rPr>
                <w:rFonts w:ascii="宋体" w:hAnsi="宋体" w:eastAsia="宋体" w:cs="宋体"/>
                <w:color w:val="333333"/>
                <w:w w:val="98"/>
                <w:sz w:val="24"/>
                <w:szCs w:val="24"/>
              </w:rPr>
              <w:t>（三）最近三十六个月内因违反法律、</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3"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行政法规、规章受到行政处罚且情节严重，或者受到刑事处罚，或者因违反证券法律、行政法规、</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规章受到中国证监会的行政处罚；最近十二个月内受到证券交易所的公开谴责；因涉嫌犯罪被司法</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91" w:lineRule="exact"/>
              <w:ind w:left="100"/>
              <w:rPr>
                <w:color w:val="auto"/>
                <w:sz w:val="20"/>
                <w:szCs w:val="20"/>
              </w:rPr>
            </w:pPr>
            <w:r>
              <w:rPr>
                <w:rFonts w:ascii="宋体" w:hAnsi="宋体" w:eastAsia="宋体" w:cs="宋体"/>
                <w:color w:val="333333"/>
                <w:sz w:val="24"/>
                <w:szCs w:val="24"/>
              </w:rPr>
              <w:t>机关立案侦查或者涉嫌违法违规被中国证监会立案调查；</w:t>
            </w:r>
            <w:r>
              <w:rPr>
                <w:rFonts w:ascii="Arial" w:hAnsi="Arial" w:eastAsia="Arial" w:cs="Arial"/>
                <w:color w:val="333333"/>
                <w:sz w:val="24"/>
                <w:szCs w:val="24"/>
              </w:rPr>
              <w:t>…</w:t>
            </w:r>
            <w:r>
              <w:rPr>
                <w:rFonts w:ascii="宋体" w:hAnsi="宋体" w:eastAsia="宋体" w:cs="宋体"/>
                <w:color w:val="333333"/>
                <w:sz w:val="24"/>
                <w:szCs w:val="24"/>
              </w:rPr>
              <w:t>（六）严重损害投资者的合法权益和社</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会公共利益的其他情形。</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64"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333333"/>
                <w:sz w:val="24"/>
                <w:szCs w:val="24"/>
              </w:rPr>
              <w:t>6</w:t>
            </w:r>
            <w:r>
              <w:rPr>
                <w:rFonts w:ascii="宋体" w:hAnsi="宋体" w:eastAsia="宋体" w:cs="宋体"/>
                <w:b/>
                <w:bCs/>
                <w:color w:val="333333"/>
                <w:sz w:val="24"/>
                <w:szCs w:val="24"/>
              </w:rPr>
              <w:t>、《非上市公众公司监督管理办法》</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36"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333333"/>
                <w:sz w:val="24"/>
                <w:szCs w:val="24"/>
              </w:rPr>
              <w:t>第三条 公众公司应当按照法律、行政法规、本办法和公司章程的规定，做到股权明晰，合法规</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范经营，公司治理机制健全，履行信息披露义务。</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333333"/>
                <w:sz w:val="24"/>
                <w:szCs w:val="24"/>
              </w:rPr>
              <w:t>第六条 为公司出具专项文件的证券公司、律师事务所、会计师事务所及其他证券服务机构，应</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40" w:hRule="atLeast"/>
        </w:trPr>
        <w:tc>
          <w:tcPr>
            <w:tcW w:w="180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10620" w:type="dxa"/>
            <w:tcBorders>
              <w:bottom w:val="single" w:color="auto" w:sz="8" w:space="0"/>
              <w:right w:val="single" w:color="auto" w:sz="8" w:space="0"/>
            </w:tcBorders>
            <w:vAlign w:val="bottom"/>
          </w:tcPr>
          <w:p>
            <w:pPr>
              <w:spacing w:after="0"/>
              <w:rPr>
                <w:color w:val="auto"/>
                <w:sz w:val="3"/>
                <w:szCs w:val="3"/>
              </w:rPr>
            </w:pPr>
          </w:p>
        </w:tc>
        <w:tc>
          <w:tcPr>
            <w:tcW w:w="1420" w:type="dxa"/>
            <w:tcBorders>
              <w:bottom w:val="single" w:color="auto" w:sz="8" w:space="0"/>
              <w:right w:val="single" w:color="auto" w:sz="8" w:space="0"/>
            </w:tcBorders>
            <w:vAlign w:val="bottom"/>
          </w:tcPr>
          <w:p>
            <w:pPr>
              <w:spacing w:after="0"/>
              <w:rPr>
                <w:color w:val="auto"/>
                <w:sz w:val="3"/>
                <w:szCs w:val="3"/>
              </w:rPr>
            </w:pPr>
          </w:p>
        </w:tc>
        <w:tc>
          <w:tcPr>
            <w:tcW w:w="0" w:type="dxa"/>
            <w:vAlign w:val="bottom"/>
          </w:tcPr>
          <w:p>
            <w:pPr>
              <w:spacing w:after="0"/>
              <w:rPr>
                <w:color w:val="auto"/>
                <w:sz w:val="1"/>
                <w:szCs w:val="1"/>
              </w:rPr>
            </w:pPr>
          </w:p>
        </w:tc>
      </w:tr>
    </w:tbl>
    <w:p>
      <w:pPr>
        <w:spacing w:after="0" w:line="67" w:lineRule="exact"/>
        <w:rPr>
          <w:color w:val="auto"/>
          <w:sz w:val="20"/>
          <w:szCs w:val="20"/>
        </w:rPr>
      </w:pPr>
    </w:p>
    <w:p>
      <w:pPr>
        <w:sectPr>
          <w:pgSz w:w="16840" w:h="11906" w:orient="landscape"/>
          <w:pgMar w:top="1440" w:right="1440" w:bottom="808" w:left="1440" w:header="0" w:footer="0" w:gutter="0"/>
          <w:cols w:equalWidth="0" w:num="1">
            <w:col w:w="13958"/>
          </w:cols>
        </w:sectPr>
      </w:pPr>
    </w:p>
    <w:p>
      <w:pPr>
        <w:spacing w:after="0"/>
        <w:ind w:right="-1"/>
        <w:jc w:val="center"/>
        <w:rPr>
          <w:color w:val="auto"/>
          <w:sz w:val="20"/>
          <w:szCs w:val="20"/>
        </w:rPr>
      </w:pPr>
      <w:r>
        <w:rPr>
          <w:rFonts w:ascii="Times New Roman" w:hAnsi="Times New Roman" w:eastAsia="Times New Roman" w:cs="Times New Roman"/>
          <w:color w:val="auto"/>
          <w:sz w:val="24"/>
          <w:szCs w:val="24"/>
        </w:rPr>
        <w:t>12</w:t>
      </w:r>
    </w:p>
    <w:p>
      <w:pPr>
        <w:sectPr>
          <w:type w:val="continuous"/>
          <w:pgSz w:w="16840" w:h="11906" w:orient="landscape"/>
          <w:pgMar w:top="1440" w:right="1440" w:bottom="808" w:left="1440" w:header="0" w:footer="0" w:gutter="0"/>
          <w:cols w:equalWidth="0" w:num="1">
            <w:col w:w="13958"/>
          </w:cols>
        </w:sectPr>
      </w:pPr>
    </w:p>
    <w:p>
      <w:pPr>
        <w:spacing w:after="0" w:line="298" w:lineRule="exact"/>
        <w:rPr>
          <w:color w:val="auto"/>
          <w:sz w:val="20"/>
          <w:szCs w:val="20"/>
        </w:rPr>
      </w:pPr>
      <w:bookmarkStart w:id="11" w:name="page19"/>
      <w:bookmarkEnd w:id="11"/>
    </w:p>
    <w:tbl>
      <w:tblPr>
        <w:tblStyle w:val="2"/>
        <w:tblW w:w="0" w:type="auto"/>
        <w:tblInd w:w="70" w:type="dxa"/>
        <w:tblLayout w:type="fixed"/>
        <w:tblCellMar>
          <w:top w:w="0" w:type="dxa"/>
          <w:left w:w="0" w:type="dxa"/>
          <w:bottom w:w="0" w:type="dxa"/>
          <w:right w:w="0" w:type="dxa"/>
        </w:tblCellMar>
      </w:tblPr>
      <w:tblGrid>
        <w:gridCol w:w="1800"/>
        <w:gridCol w:w="10620"/>
        <w:gridCol w:w="1420"/>
        <w:gridCol w:w="360"/>
      </w:tblGrid>
      <w:tr>
        <w:tblPrEx>
          <w:tblCellMar>
            <w:top w:w="0" w:type="dxa"/>
            <w:left w:w="0" w:type="dxa"/>
            <w:bottom w:w="0" w:type="dxa"/>
            <w:right w:w="0" w:type="dxa"/>
          </w:tblCellMar>
        </w:tblPrEx>
        <w:trPr>
          <w:trHeight w:val="319" w:hRule="atLeast"/>
        </w:trPr>
        <w:tc>
          <w:tcPr>
            <w:tcW w:w="1800" w:type="dxa"/>
            <w:tcBorders>
              <w:top w:val="single" w:color="auto" w:sz="8" w:space="0"/>
              <w:left w:val="single" w:color="auto" w:sz="8" w:space="0"/>
              <w:right w:val="single" w:color="auto" w:sz="8" w:space="0"/>
            </w:tcBorders>
            <w:vAlign w:val="bottom"/>
          </w:tcPr>
          <w:p>
            <w:pPr>
              <w:spacing w:after="0"/>
              <w:rPr>
                <w:color w:val="auto"/>
                <w:sz w:val="24"/>
                <w:szCs w:val="24"/>
              </w:rPr>
            </w:pPr>
          </w:p>
        </w:tc>
        <w:tc>
          <w:tcPr>
            <w:tcW w:w="10620" w:type="dxa"/>
            <w:tcBorders>
              <w:top w:val="single" w:color="auto" w:sz="8" w:space="0"/>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当勤勉尽责、诚实守信，认真履行审慎核查义务，按照依法制定的业务规则、行业执业规范和职业</w:t>
            </w:r>
          </w:p>
        </w:tc>
        <w:tc>
          <w:tcPr>
            <w:tcW w:w="1420" w:type="dxa"/>
            <w:tcBorders>
              <w:top w:val="single" w:color="auto" w:sz="8" w:space="0"/>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道德准则发表专业意见，保证所出具文件的真实性、准确性和完整性，并接受中国证监会的监管。</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41" w:hRule="atLeast"/>
        </w:trPr>
        <w:tc>
          <w:tcPr>
            <w:tcW w:w="180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10620" w:type="dxa"/>
            <w:tcBorders>
              <w:bottom w:val="single" w:color="auto" w:sz="8" w:space="0"/>
              <w:right w:val="single" w:color="auto" w:sz="8" w:space="0"/>
            </w:tcBorders>
            <w:vAlign w:val="bottom"/>
          </w:tcPr>
          <w:p>
            <w:pPr>
              <w:spacing w:after="0"/>
              <w:rPr>
                <w:color w:val="auto"/>
                <w:sz w:val="3"/>
                <w:szCs w:val="3"/>
              </w:rPr>
            </w:pPr>
          </w:p>
        </w:tc>
        <w:tc>
          <w:tcPr>
            <w:tcW w:w="1420" w:type="dxa"/>
            <w:tcBorders>
              <w:bottom w:val="single" w:color="auto" w:sz="8" w:space="0"/>
              <w:right w:val="single" w:color="auto" w:sz="8" w:space="0"/>
            </w:tcBorders>
            <w:vAlign w:val="bottom"/>
          </w:tcPr>
          <w:p>
            <w:pPr>
              <w:spacing w:after="0"/>
              <w:rPr>
                <w:color w:val="auto"/>
                <w:sz w:val="3"/>
                <w:szCs w:val="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13"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333333"/>
                <w:sz w:val="24"/>
                <w:szCs w:val="24"/>
              </w:rPr>
              <w:t>1</w:t>
            </w:r>
            <w:r>
              <w:rPr>
                <w:rFonts w:ascii="宋体" w:hAnsi="宋体" w:eastAsia="宋体" w:cs="宋体"/>
                <w:b/>
                <w:bCs/>
                <w:color w:val="333333"/>
                <w:sz w:val="24"/>
                <w:szCs w:val="24"/>
              </w:rPr>
              <w:t>、《上市公司收购管理办法》</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36" w:hRule="atLeast"/>
        </w:trPr>
        <w:tc>
          <w:tcPr>
            <w:tcW w:w="1800" w:type="dxa"/>
            <w:vMerge w:val="restart"/>
            <w:tcBorders>
              <w:left w:val="single" w:color="auto" w:sz="8" w:space="0"/>
              <w:right w:val="single" w:color="auto" w:sz="8" w:space="0"/>
            </w:tcBorders>
            <w:vAlign w:val="bottom"/>
          </w:tcPr>
          <w:p>
            <w:pPr>
              <w:spacing w:after="0" w:line="292" w:lineRule="exact"/>
              <w:ind w:left="120"/>
              <w:rPr>
                <w:color w:val="auto"/>
                <w:sz w:val="20"/>
                <w:szCs w:val="20"/>
              </w:rPr>
            </w:pPr>
            <w:r>
              <w:rPr>
                <w:rFonts w:ascii="Times New Roman" w:hAnsi="Times New Roman" w:eastAsia="Times New Roman" w:cs="Times New Roman"/>
                <w:color w:val="333333"/>
                <w:w w:val="97"/>
                <w:sz w:val="24"/>
                <w:szCs w:val="24"/>
              </w:rPr>
              <w:t>16</w:t>
            </w:r>
            <w:r>
              <w:rPr>
                <w:rFonts w:ascii="宋体" w:hAnsi="宋体" w:eastAsia="宋体" w:cs="宋体"/>
                <w:color w:val="333333"/>
                <w:w w:val="97"/>
                <w:sz w:val="24"/>
                <w:szCs w:val="24"/>
              </w:rPr>
              <w:t>、在上市公司</w:t>
            </w:r>
          </w:p>
        </w:tc>
        <w:tc>
          <w:tcPr>
            <w:tcW w:w="1062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333333"/>
                <w:sz w:val="24"/>
                <w:szCs w:val="24"/>
              </w:rPr>
              <w:t>第六条 任何人不得利用上市公司的收购损害被收购公司及其股东的合法权益。</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89" w:hRule="atLeast"/>
        </w:trPr>
        <w:tc>
          <w:tcPr>
            <w:tcW w:w="1800" w:type="dxa"/>
            <w:vMerge w:val="continue"/>
            <w:tcBorders>
              <w:left w:val="single" w:color="auto" w:sz="8" w:space="0"/>
              <w:right w:val="single" w:color="auto" w:sz="8" w:space="0"/>
            </w:tcBorders>
            <w:vAlign w:val="bottom"/>
          </w:tcPr>
          <w:p>
            <w:pPr>
              <w:spacing w:after="0"/>
              <w:rPr>
                <w:color w:val="auto"/>
                <w:sz w:val="16"/>
                <w:szCs w:val="16"/>
              </w:rPr>
            </w:pPr>
          </w:p>
        </w:tc>
        <w:tc>
          <w:tcPr>
            <w:tcW w:w="10620" w:type="dxa"/>
            <w:vMerge w:val="restart"/>
            <w:tcBorders>
              <w:right w:val="single" w:color="auto" w:sz="8" w:space="0"/>
            </w:tcBorders>
            <w:vAlign w:val="bottom"/>
          </w:tcPr>
          <w:p>
            <w:pPr>
              <w:spacing w:after="0" w:line="292" w:lineRule="exact"/>
              <w:ind w:left="580"/>
              <w:rPr>
                <w:color w:val="auto"/>
                <w:sz w:val="20"/>
                <w:szCs w:val="20"/>
              </w:rPr>
            </w:pPr>
            <w:r>
              <w:rPr>
                <w:rFonts w:ascii="宋体" w:hAnsi="宋体" w:eastAsia="宋体" w:cs="宋体"/>
                <w:color w:val="333333"/>
                <w:sz w:val="24"/>
                <w:szCs w:val="24"/>
              </w:rPr>
              <w:t>有下列情形之一的，不得收购上市公司：</w:t>
            </w:r>
            <w:r>
              <w:rPr>
                <w:rFonts w:ascii="Arial" w:hAnsi="Arial" w:eastAsia="Arial" w:cs="Arial"/>
                <w:color w:val="333333"/>
                <w:sz w:val="24"/>
                <w:szCs w:val="24"/>
              </w:rPr>
              <w:t xml:space="preserve">… </w:t>
            </w:r>
            <w:r>
              <w:rPr>
                <w:rFonts w:ascii="宋体" w:hAnsi="宋体" w:eastAsia="宋体" w:cs="宋体"/>
                <w:color w:val="333333"/>
                <w:sz w:val="24"/>
                <w:szCs w:val="24"/>
              </w:rPr>
              <w:t>（二）收购人最近</w:t>
            </w:r>
            <w:r>
              <w:rPr>
                <w:rFonts w:ascii="Arial" w:hAnsi="Arial" w:eastAsia="Arial" w:cs="Arial"/>
                <w:color w:val="333333"/>
                <w:sz w:val="24"/>
                <w:szCs w:val="24"/>
              </w:rPr>
              <w:t xml:space="preserve"> </w:t>
            </w:r>
            <w:r>
              <w:rPr>
                <w:rFonts w:ascii="Times New Roman" w:hAnsi="Times New Roman" w:eastAsia="Times New Roman" w:cs="Times New Roman"/>
                <w:color w:val="333333"/>
                <w:sz w:val="24"/>
                <w:szCs w:val="24"/>
              </w:rPr>
              <w:t>3</w:t>
            </w:r>
            <w:r>
              <w:rPr>
                <w:rFonts w:ascii="Arial" w:hAnsi="Arial" w:eastAsia="Arial" w:cs="Arial"/>
                <w:color w:val="333333"/>
                <w:sz w:val="24"/>
                <w:szCs w:val="24"/>
              </w:rPr>
              <w:t xml:space="preserve"> </w:t>
            </w:r>
            <w:r>
              <w:rPr>
                <w:rFonts w:ascii="宋体" w:hAnsi="宋体" w:eastAsia="宋体" w:cs="宋体"/>
                <w:color w:val="333333"/>
                <w:sz w:val="24"/>
                <w:szCs w:val="24"/>
              </w:rPr>
              <w:t>年有重大违法行为或者涉嫌有</w:t>
            </w:r>
          </w:p>
        </w:tc>
        <w:tc>
          <w:tcPr>
            <w:tcW w:w="1420" w:type="dxa"/>
            <w:tcBorders>
              <w:right w:val="single" w:color="auto" w:sz="8" w:space="0"/>
            </w:tcBorders>
            <w:vAlign w:val="bottom"/>
          </w:tcPr>
          <w:p>
            <w:pPr>
              <w:spacing w:after="0"/>
              <w:rPr>
                <w:color w:val="auto"/>
                <w:sz w:val="16"/>
                <w:szCs w:val="16"/>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8" w:hRule="atLeast"/>
        </w:trPr>
        <w:tc>
          <w:tcPr>
            <w:tcW w:w="1800" w:type="dxa"/>
            <w:vMerge w:val="restart"/>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或者非上市公</w:t>
            </w:r>
          </w:p>
        </w:tc>
        <w:tc>
          <w:tcPr>
            <w:tcW w:w="10620" w:type="dxa"/>
            <w:vMerge w:val="continue"/>
            <w:tcBorders>
              <w:right w:val="single" w:color="auto" w:sz="8" w:space="0"/>
            </w:tcBorders>
            <w:vAlign w:val="bottom"/>
          </w:tcPr>
          <w:p>
            <w:pPr>
              <w:spacing w:after="0"/>
              <w:rPr>
                <w:color w:val="auto"/>
                <w:sz w:val="15"/>
                <w:szCs w:val="15"/>
              </w:rPr>
            </w:pPr>
          </w:p>
        </w:tc>
        <w:tc>
          <w:tcPr>
            <w:tcW w:w="1420" w:type="dxa"/>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59" w:hRule="atLeast"/>
        </w:trPr>
        <w:tc>
          <w:tcPr>
            <w:tcW w:w="1800" w:type="dxa"/>
            <w:vMerge w:val="continue"/>
            <w:tcBorders>
              <w:left w:val="single" w:color="auto" w:sz="8" w:space="0"/>
              <w:right w:val="single" w:color="auto" w:sz="8" w:space="0"/>
            </w:tcBorders>
            <w:vAlign w:val="bottom"/>
          </w:tcPr>
          <w:p>
            <w:pPr>
              <w:spacing w:after="0"/>
              <w:rPr>
                <w:color w:val="auto"/>
                <w:sz w:val="13"/>
                <w:szCs w:val="13"/>
              </w:rPr>
            </w:pPr>
          </w:p>
        </w:tc>
        <w:tc>
          <w:tcPr>
            <w:tcW w:w="10620" w:type="dxa"/>
            <w:vMerge w:val="restart"/>
            <w:tcBorders>
              <w:right w:val="single" w:color="auto" w:sz="8" w:space="0"/>
            </w:tcBorders>
            <w:vAlign w:val="bottom"/>
          </w:tcPr>
          <w:p>
            <w:pPr>
              <w:spacing w:after="0" w:line="291" w:lineRule="exact"/>
              <w:ind w:left="100"/>
              <w:rPr>
                <w:color w:val="auto"/>
                <w:sz w:val="20"/>
                <w:szCs w:val="20"/>
              </w:rPr>
            </w:pPr>
            <w:r>
              <w:rPr>
                <w:rFonts w:ascii="宋体" w:hAnsi="宋体" w:eastAsia="宋体" w:cs="宋体"/>
                <w:color w:val="333333"/>
                <w:sz w:val="24"/>
                <w:szCs w:val="24"/>
              </w:rPr>
              <w:t>重大违法行为；</w:t>
            </w:r>
            <w:r>
              <w:rPr>
                <w:rFonts w:ascii="Arial" w:hAnsi="Arial" w:eastAsia="Arial" w:cs="Arial"/>
                <w:color w:val="333333"/>
                <w:sz w:val="24"/>
                <w:szCs w:val="24"/>
              </w:rPr>
              <w:t>…</w:t>
            </w:r>
          </w:p>
        </w:tc>
        <w:tc>
          <w:tcPr>
            <w:tcW w:w="1420" w:type="dxa"/>
            <w:tcBorders>
              <w:right w:val="single" w:color="auto" w:sz="8" w:space="0"/>
            </w:tcBorders>
            <w:vAlign w:val="bottom"/>
          </w:tcPr>
          <w:p>
            <w:pPr>
              <w:spacing w:after="0"/>
              <w:rPr>
                <w:color w:val="auto"/>
                <w:sz w:val="13"/>
                <w:szCs w:val="1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5" w:hRule="atLeast"/>
        </w:trPr>
        <w:tc>
          <w:tcPr>
            <w:tcW w:w="1800" w:type="dxa"/>
            <w:vMerge w:val="restart"/>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众公司收购的</w:t>
            </w:r>
          </w:p>
        </w:tc>
        <w:tc>
          <w:tcPr>
            <w:tcW w:w="10620" w:type="dxa"/>
            <w:vMerge w:val="continue"/>
            <w:tcBorders>
              <w:right w:val="single" w:color="auto" w:sz="8" w:space="0"/>
            </w:tcBorders>
            <w:vAlign w:val="bottom"/>
          </w:tcPr>
          <w:p>
            <w:pPr>
              <w:spacing w:after="0"/>
              <w:rPr>
                <w:color w:val="auto"/>
                <w:sz w:val="15"/>
                <w:szCs w:val="15"/>
              </w:rPr>
            </w:pPr>
          </w:p>
        </w:tc>
        <w:tc>
          <w:tcPr>
            <w:tcW w:w="1420" w:type="dxa"/>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5" w:hRule="atLeast"/>
        </w:trPr>
        <w:tc>
          <w:tcPr>
            <w:tcW w:w="1800" w:type="dxa"/>
            <w:vMerge w:val="continue"/>
            <w:tcBorders>
              <w:left w:val="single" w:color="auto" w:sz="8" w:space="0"/>
              <w:right w:val="single" w:color="auto" w:sz="8" w:space="0"/>
            </w:tcBorders>
            <w:vAlign w:val="bottom"/>
          </w:tcPr>
          <w:p>
            <w:pPr>
              <w:spacing w:after="0"/>
              <w:rPr>
                <w:color w:val="auto"/>
                <w:sz w:val="15"/>
                <w:szCs w:val="15"/>
              </w:rPr>
            </w:pPr>
          </w:p>
        </w:tc>
        <w:tc>
          <w:tcPr>
            <w:tcW w:w="10620" w:type="dxa"/>
            <w:vMerge w:val="restart"/>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333333"/>
                <w:sz w:val="24"/>
                <w:szCs w:val="24"/>
              </w:rPr>
              <w:t>2</w:t>
            </w:r>
            <w:r>
              <w:rPr>
                <w:rFonts w:ascii="宋体" w:hAnsi="宋体" w:eastAsia="宋体" w:cs="宋体"/>
                <w:b/>
                <w:bCs/>
                <w:color w:val="333333"/>
                <w:sz w:val="24"/>
                <w:szCs w:val="24"/>
              </w:rPr>
              <w:t>、《非上市公众公司收购管理办法》</w:t>
            </w:r>
          </w:p>
        </w:tc>
        <w:tc>
          <w:tcPr>
            <w:tcW w:w="1420" w:type="dxa"/>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92" w:hRule="atLeast"/>
        </w:trPr>
        <w:tc>
          <w:tcPr>
            <w:tcW w:w="1800" w:type="dxa"/>
            <w:vMerge w:val="restart"/>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事中事后监管</w:t>
            </w:r>
          </w:p>
        </w:tc>
        <w:tc>
          <w:tcPr>
            <w:tcW w:w="10620" w:type="dxa"/>
            <w:vMerge w:val="continue"/>
            <w:tcBorders>
              <w:right w:val="single" w:color="auto" w:sz="8" w:space="0"/>
            </w:tcBorders>
            <w:vAlign w:val="bottom"/>
          </w:tcPr>
          <w:p>
            <w:pPr>
              <w:spacing w:after="0"/>
              <w:rPr>
                <w:color w:val="auto"/>
                <w:sz w:val="16"/>
                <w:szCs w:val="16"/>
              </w:rPr>
            </w:pPr>
          </w:p>
        </w:tc>
        <w:tc>
          <w:tcPr>
            <w:tcW w:w="1420" w:type="dxa"/>
            <w:vMerge w:val="restart"/>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证监会</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61" w:hRule="atLeast"/>
        </w:trPr>
        <w:tc>
          <w:tcPr>
            <w:tcW w:w="1800" w:type="dxa"/>
            <w:vMerge w:val="continue"/>
            <w:tcBorders>
              <w:left w:val="single" w:color="auto" w:sz="8" w:space="0"/>
              <w:right w:val="single" w:color="auto" w:sz="8" w:space="0"/>
            </w:tcBorders>
            <w:vAlign w:val="bottom"/>
          </w:tcPr>
          <w:p>
            <w:pPr>
              <w:spacing w:after="0"/>
              <w:rPr>
                <w:color w:val="auto"/>
                <w:sz w:val="14"/>
                <w:szCs w:val="14"/>
              </w:rPr>
            </w:pPr>
          </w:p>
        </w:tc>
        <w:tc>
          <w:tcPr>
            <w:tcW w:w="10620" w:type="dxa"/>
            <w:vMerge w:val="restart"/>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333333"/>
                <w:sz w:val="24"/>
                <w:szCs w:val="24"/>
              </w:rPr>
              <w:t>第六条 进行公众公司收购，收购人及其实际控制人应当具有良好的诚信记录，收购人及其实际</w:t>
            </w:r>
          </w:p>
        </w:tc>
        <w:tc>
          <w:tcPr>
            <w:tcW w:w="1420" w:type="dxa"/>
            <w:vMerge w:val="continue"/>
            <w:tcBorders>
              <w:right w:val="single" w:color="auto" w:sz="8" w:space="0"/>
            </w:tcBorders>
            <w:vAlign w:val="bottom"/>
          </w:tcPr>
          <w:p>
            <w:pPr>
              <w:spacing w:after="0"/>
              <w:rPr>
                <w:color w:val="auto"/>
                <w:sz w:val="14"/>
                <w:szCs w:val="1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5" w:hRule="atLeast"/>
        </w:trPr>
        <w:tc>
          <w:tcPr>
            <w:tcW w:w="1800" w:type="dxa"/>
            <w:vMerge w:val="restart"/>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w w:val="97"/>
                <w:sz w:val="24"/>
                <w:szCs w:val="24"/>
              </w:rPr>
              <w:t>中，对失信主体</w:t>
            </w:r>
          </w:p>
        </w:tc>
        <w:tc>
          <w:tcPr>
            <w:tcW w:w="10620" w:type="dxa"/>
            <w:vMerge w:val="continue"/>
            <w:tcBorders>
              <w:right w:val="single" w:color="auto" w:sz="8" w:space="0"/>
            </w:tcBorders>
            <w:vAlign w:val="bottom"/>
          </w:tcPr>
          <w:p>
            <w:pPr>
              <w:spacing w:after="0"/>
              <w:rPr>
                <w:color w:val="auto"/>
                <w:sz w:val="15"/>
                <w:szCs w:val="15"/>
              </w:rPr>
            </w:pPr>
          </w:p>
        </w:tc>
        <w:tc>
          <w:tcPr>
            <w:tcW w:w="1420" w:type="dxa"/>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3" w:hRule="atLeast"/>
        </w:trPr>
        <w:tc>
          <w:tcPr>
            <w:tcW w:w="1800" w:type="dxa"/>
            <w:vMerge w:val="continue"/>
            <w:tcBorders>
              <w:left w:val="single" w:color="auto" w:sz="8" w:space="0"/>
              <w:right w:val="single" w:color="auto" w:sz="8" w:space="0"/>
            </w:tcBorders>
            <w:vAlign w:val="bottom"/>
          </w:tcPr>
          <w:p>
            <w:pPr>
              <w:spacing w:after="0"/>
              <w:rPr>
                <w:color w:val="auto"/>
                <w:sz w:val="15"/>
                <w:szCs w:val="15"/>
              </w:rPr>
            </w:pPr>
          </w:p>
        </w:tc>
        <w:tc>
          <w:tcPr>
            <w:tcW w:w="10620" w:type="dxa"/>
            <w:vMerge w:val="restart"/>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控制人为法人的，应当具有健全的公司治理机制。任何人不得利用公众公司收购损害被收购公司及</w:t>
            </w:r>
          </w:p>
        </w:tc>
        <w:tc>
          <w:tcPr>
            <w:tcW w:w="1420" w:type="dxa"/>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8" w:hRule="atLeast"/>
        </w:trPr>
        <w:tc>
          <w:tcPr>
            <w:tcW w:w="1800" w:type="dxa"/>
            <w:vMerge w:val="restart"/>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予以关注。</w:t>
            </w:r>
          </w:p>
        </w:tc>
        <w:tc>
          <w:tcPr>
            <w:tcW w:w="10620" w:type="dxa"/>
            <w:vMerge w:val="continue"/>
            <w:tcBorders>
              <w:right w:val="single" w:color="auto" w:sz="8" w:space="0"/>
            </w:tcBorders>
            <w:vAlign w:val="bottom"/>
          </w:tcPr>
          <w:p>
            <w:pPr>
              <w:spacing w:after="0"/>
              <w:rPr>
                <w:color w:val="auto"/>
                <w:sz w:val="15"/>
                <w:szCs w:val="15"/>
              </w:rPr>
            </w:pPr>
          </w:p>
        </w:tc>
        <w:tc>
          <w:tcPr>
            <w:tcW w:w="1420" w:type="dxa"/>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5" w:hRule="atLeast"/>
        </w:trPr>
        <w:tc>
          <w:tcPr>
            <w:tcW w:w="1800" w:type="dxa"/>
            <w:vMerge w:val="continue"/>
            <w:tcBorders>
              <w:left w:val="single" w:color="auto" w:sz="8" w:space="0"/>
              <w:right w:val="single" w:color="auto" w:sz="8" w:space="0"/>
            </w:tcBorders>
            <w:vAlign w:val="bottom"/>
          </w:tcPr>
          <w:p>
            <w:pPr>
              <w:spacing w:after="0"/>
              <w:rPr>
                <w:color w:val="auto"/>
                <w:sz w:val="15"/>
                <w:szCs w:val="15"/>
              </w:rPr>
            </w:pPr>
          </w:p>
        </w:tc>
        <w:tc>
          <w:tcPr>
            <w:tcW w:w="10620" w:type="dxa"/>
            <w:vMerge w:val="restart"/>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其股东的合法权益。</w:t>
            </w:r>
          </w:p>
        </w:tc>
        <w:tc>
          <w:tcPr>
            <w:tcW w:w="1420" w:type="dxa"/>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5" w:hRule="atLeast"/>
        </w:trPr>
        <w:tc>
          <w:tcPr>
            <w:tcW w:w="1800" w:type="dxa"/>
            <w:tcBorders>
              <w:left w:val="single" w:color="auto" w:sz="8" w:space="0"/>
              <w:right w:val="single" w:color="auto" w:sz="8" w:space="0"/>
            </w:tcBorders>
            <w:vAlign w:val="bottom"/>
          </w:tcPr>
          <w:p>
            <w:pPr>
              <w:spacing w:after="0"/>
              <w:rPr>
                <w:color w:val="auto"/>
                <w:sz w:val="15"/>
                <w:szCs w:val="15"/>
              </w:rPr>
            </w:pPr>
          </w:p>
        </w:tc>
        <w:tc>
          <w:tcPr>
            <w:tcW w:w="10620" w:type="dxa"/>
            <w:vMerge w:val="continue"/>
            <w:tcBorders>
              <w:right w:val="single" w:color="auto" w:sz="8" w:space="0"/>
            </w:tcBorders>
            <w:vAlign w:val="bottom"/>
          </w:tcPr>
          <w:p>
            <w:pPr>
              <w:spacing w:after="0"/>
              <w:rPr>
                <w:color w:val="auto"/>
                <w:sz w:val="15"/>
                <w:szCs w:val="15"/>
              </w:rPr>
            </w:pPr>
          </w:p>
        </w:tc>
        <w:tc>
          <w:tcPr>
            <w:tcW w:w="1420" w:type="dxa"/>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64"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92" w:lineRule="exact"/>
              <w:ind w:left="580"/>
              <w:rPr>
                <w:color w:val="auto"/>
                <w:sz w:val="20"/>
                <w:szCs w:val="20"/>
              </w:rPr>
            </w:pPr>
            <w:r>
              <w:rPr>
                <w:rFonts w:ascii="宋体" w:hAnsi="宋体" w:eastAsia="宋体" w:cs="宋体"/>
                <w:color w:val="333333"/>
                <w:sz w:val="24"/>
                <w:szCs w:val="24"/>
              </w:rPr>
              <w:t>有下列情形之一的，不得收购公众公司：</w:t>
            </w:r>
            <w:r>
              <w:rPr>
                <w:rFonts w:ascii="Arial" w:hAnsi="Arial" w:eastAsia="Arial" w:cs="Arial"/>
                <w:color w:val="333333"/>
                <w:sz w:val="24"/>
                <w:szCs w:val="24"/>
              </w:rPr>
              <w:t xml:space="preserve">… </w:t>
            </w:r>
            <w:r>
              <w:rPr>
                <w:rFonts w:ascii="宋体" w:hAnsi="宋体" w:eastAsia="宋体" w:cs="宋体"/>
                <w:color w:val="333333"/>
                <w:sz w:val="24"/>
                <w:szCs w:val="24"/>
              </w:rPr>
              <w:t>（二）收购人最近</w:t>
            </w:r>
            <w:r>
              <w:rPr>
                <w:rFonts w:ascii="Arial" w:hAnsi="Arial" w:eastAsia="Arial" w:cs="Arial"/>
                <w:color w:val="333333"/>
                <w:sz w:val="24"/>
                <w:szCs w:val="24"/>
              </w:rPr>
              <w:t xml:space="preserve"> </w:t>
            </w:r>
            <w:r>
              <w:rPr>
                <w:rFonts w:ascii="Times New Roman" w:hAnsi="Times New Roman" w:eastAsia="Times New Roman" w:cs="Times New Roman"/>
                <w:color w:val="333333"/>
                <w:sz w:val="24"/>
                <w:szCs w:val="24"/>
              </w:rPr>
              <w:t>2</w:t>
            </w:r>
            <w:r>
              <w:rPr>
                <w:rFonts w:ascii="Arial" w:hAnsi="Arial" w:eastAsia="Arial" w:cs="Arial"/>
                <w:color w:val="333333"/>
                <w:sz w:val="24"/>
                <w:szCs w:val="24"/>
              </w:rPr>
              <w:t xml:space="preserve"> </w:t>
            </w:r>
            <w:r>
              <w:rPr>
                <w:rFonts w:ascii="宋体" w:hAnsi="宋体" w:eastAsia="宋体" w:cs="宋体"/>
                <w:color w:val="333333"/>
                <w:sz w:val="24"/>
                <w:szCs w:val="24"/>
              </w:rPr>
              <w:t>年有重大违法行为或者涉嫌有</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36"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91" w:lineRule="exact"/>
              <w:ind w:left="100"/>
              <w:rPr>
                <w:color w:val="auto"/>
                <w:sz w:val="20"/>
                <w:szCs w:val="20"/>
              </w:rPr>
            </w:pPr>
            <w:r>
              <w:rPr>
                <w:rFonts w:ascii="宋体" w:hAnsi="宋体" w:eastAsia="宋体" w:cs="宋体"/>
                <w:color w:val="333333"/>
                <w:sz w:val="24"/>
                <w:szCs w:val="24"/>
              </w:rPr>
              <w:t>重大违法行为；</w:t>
            </w:r>
            <w:r>
              <w:rPr>
                <w:rFonts w:ascii="Arial" w:hAnsi="Arial" w:eastAsia="Arial" w:cs="Arial"/>
                <w:color w:val="333333"/>
                <w:sz w:val="24"/>
                <w:szCs w:val="24"/>
              </w:rPr>
              <w:t>…</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42" w:hRule="atLeast"/>
        </w:trPr>
        <w:tc>
          <w:tcPr>
            <w:tcW w:w="180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10620" w:type="dxa"/>
            <w:tcBorders>
              <w:bottom w:val="single" w:color="auto" w:sz="8" w:space="0"/>
              <w:right w:val="single" w:color="auto" w:sz="8" w:space="0"/>
            </w:tcBorders>
            <w:vAlign w:val="bottom"/>
          </w:tcPr>
          <w:p>
            <w:pPr>
              <w:spacing w:after="0"/>
              <w:rPr>
                <w:color w:val="auto"/>
                <w:sz w:val="3"/>
                <w:szCs w:val="3"/>
              </w:rPr>
            </w:pPr>
          </w:p>
        </w:tc>
        <w:tc>
          <w:tcPr>
            <w:tcW w:w="1420" w:type="dxa"/>
            <w:tcBorders>
              <w:bottom w:val="single" w:color="auto" w:sz="8" w:space="0"/>
              <w:right w:val="single" w:color="auto" w:sz="8" w:space="0"/>
            </w:tcBorders>
            <w:vAlign w:val="bottom"/>
          </w:tcPr>
          <w:p>
            <w:pPr>
              <w:spacing w:after="0"/>
              <w:rPr>
                <w:color w:val="auto"/>
                <w:sz w:val="3"/>
                <w:szCs w:val="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12" w:hRule="atLeast"/>
        </w:trPr>
        <w:tc>
          <w:tcPr>
            <w:tcW w:w="1800" w:type="dxa"/>
            <w:tcBorders>
              <w:left w:val="single" w:color="auto" w:sz="8" w:space="0"/>
              <w:right w:val="single" w:color="auto" w:sz="8" w:space="0"/>
            </w:tcBorders>
            <w:vAlign w:val="bottom"/>
          </w:tcPr>
          <w:p>
            <w:pPr>
              <w:spacing w:after="0" w:line="292" w:lineRule="exact"/>
              <w:ind w:left="120"/>
              <w:rPr>
                <w:color w:val="auto"/>
                <w:sz w:val="20"/>
                <w:szCs w:val="20"/>
              </w:rPr>
            </w:pPr>
            <w:r>
              <w:rPr>
                <w:rFonts w:ascii="Times New Roman" w:hAnsi="Times New Roman" w:eastAsia="Times New Roman" w:cs="Times New Roman"/>
                <w:color w:val="333333"/>
                <w:w w:val="97"/>
                <w:sz w:val="24"/>
                <w:szCs w:val="24"/>
              </w:rPr>
              <w:t>17</w:t>
            </w:r>
            <w:r>
              <w:rPr>
                <w:rFonts w:ascii="宋体" w:hAnsi="宋体" w:eastAsia="宋体" w:cs="宋体"/>
                <w:color w:val="333333"/>
                <w:w w:val="97"/>
                <w:sz w:val="24"/>
                <w:szCs w:val="24"/>
              </w:rPr>
              <w:t>、在境内上市</w:t>
            </w:r>
          </w:p>
        </w:tc>
        <w:tc>
          <w:tcPr>
            <w:tcW w:w="1062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333333"/>
                <w:sz w:val="24"/>
                <w:szCs w:val="24"/>
              </w:rPr>
              <w:t>1</w:t>
            </w:r>
            <w:r>
              <w:rPr>
                <w:rFonts w:ascii="宋体" w:hAnsi="宋体" w:eastAsia="宋体" w:cs="宋体"/>
                <w:b/>
                <w:bCs/>
                <w:color w:val="333333"/>
                <w:sz w:val="24"/>
                <w:szCs w:val="24"/>
              </w:rPr>
              <w:t>、《上市公司股权激励管理办法》</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36" w:hRule="atLeast"/>
        </w:trPr>
        <w:tc>
          <w:tcPr>
            <w:tcW w:w="180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公司实行股权</w:t>
            </w:r>
          </w:p>
        </w:tc>
        <w:tc>
          <w:tcPr>
            <w:tcW w:w="10620" w:type="dxa"/>
            <w:tcBorders>
              <w:right w:val="single" w:color="auto" w:sz="8" w:space="0"/>
            </w:tcBorders>
            <w:vAlign w:val="bottom"/>
          </w:tcPr>
          <w:p>
            <w:pPr>
              <w:spacing w:after="0" w:line="291" w:lineRule="exact"/>
              <w:ind w:left="580"/>
              <w:rPr>
                <w:color w:val="auto"/>
                <w:sz w:val="20"/>
                <w:szCs w:val="20"/>
              </w:rPr>
            </w:pPr>
            <w:r>
              <w:rPr>
                <w:rFonts w:ascii="宋体" w:hAnsi="宋体" w:eastAsia="宋体" w:cs="宋体"/>
                <w:color w:val="333333"/>
                <w:w w:val="99"/>
                <w:sz w:val="24"/>
                <w:szCs w:val="24"/>
              </w:rPr>
              <w:t>第七条 上市公司具有下列情形之一的，不得实行股权激励：</w:t>
            </w:r>
            <w:r>
              <w:rPr>
                <w:rFonts w:ascii="Arial" w:hAnsi="Arial" w:eastAsia="Arial" w:cs="Arial"/>
                <w:color w:val="333333"/>
                <w:w w:val="99"/>
                <w:sz w:val="24"/>
                <w:szCs w:val="24"/>
              </w:rPr>
              <w:t xml:space="preserve">… </w:t>
            </w:r>
            <w:r>
              <w:rPr>
                <w:rFonts w:ascii="宋体" w:hAnsi="宋体" w:eastAsia="宋体" w:cs="宋体"/>
                <w:color w:val="333333"/>
                <w:w w:val="99"/>
                <w:sz w:val="24"/>
                <w:szCs w:val="24"/>
              </w:rPr>
              <w:t>（四）法律法规规定不得实行股</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3" w:hRule="atLeast"/>
        </w:trPr>
        <w:tc>
          <w:tcPr>
            <w:tcW w:w="180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激励计划或相</w:t>
            </w:r>
          </w:p>
        </w:tc>
        <w:tc>
          <w:tcPr>
            <w:tcW w:w="1062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权激励的；（五）中国证监会认定的其他情形。</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62" w:hRule="atLeast"/>
        </w:trPr>
        <w:tc>
          <w:tcPr>
            <w:tcW w:w="180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关人员成为股</w:t>
            </w:r>
          </w:p>
        </w:tc>
        <w:tc>
          <w:tcPr>
            <w:tcW w:w="10620" w:type="dxa"/>
            <w:tcBorders>
              <w:right w:val="single" w:color="auto" w:sz="8" w:space="0"/>
            </w:tcBorders>
            <w:vAlign w:val="bottom"/>
          </w:tcPr>
          <w:p>
            <w:pPr>
              <w:spacing w:after="0" w:line="292" w:lineRule="exact"/>
              <w:ind w:left="580"/>
              <w:rPr>
                <w:color w:val="auto"/>
                <w:sz w:val="20"/>
                <w:szCs w:val="20"/>
              </w:rPr>
            </w:pPr>
            <w:r>
              <w:rPr>
                <w:rFonts w:ascii="宋体" w:hAnsi="宋体" w:eastAsia="宋体" w:cs="宋体"/>
                <w:color w:val="333333"/>
                <w:sz w:val="24"/>
                <w:szCs w:val="24"/>
              </w:rPr>
              <w:t>第八条</w:t>
            </w:r>
            <w:r>
              <w:rPr>
                <w:rFonts w:ascii="Arial" w:hAnsi="Arial" w:eastAsia="Arial" w:cs="Arial"/>
                <w:color w:val="333333"/>
                <w:sz w:val="24"/>
                <w:szCs w:val="24"/>
              </w:rPr>
              <w:t xml:space="preserve"> … </w:t>
            </w:r>
            <w:r>
              <w:rPr>
                <w:rFonts w:ascii="宋体" w:hAnsi="宋体" w:eastAsia="宋体" w:cs="宋体"/>
                <w:color w:val="333333"/>
                <w:sz w:val="24"/>
                <w:szCs w:val="24"/>
              </w:rPr>
              <w:t>下列人员也不得成为激励对象：</w:t>
            </w:r>
            <w:r>
              <w:rPr>
                <w:rFonts w:ascii="Arial" w:hAnsi="Arial" w:eastAsia="Arial" w:cs="Arial"/>
                <w:color w:val="333333"/>
                <w:sz w:val="24"/>
                <w:szCs w:val="24"/>
              </w:rPr>
              <w:t xml:space="preserve">… </w:t>
            </w:r>
            <w:r>
              <w:rPr>
                <w:rFonts w:ascii="宋体" w:hAnsi="宋体" w:eastAsia="宋体" w:cs="宋体"/>
                <w:color w:val="333333"/>
                <w:sz w:val="24"/>
                <w:szCs w:val="24"/>
              </w:rPr>
              <w:t>（三）最近</w:t>
            </w:r>
            <w:r>
              <w:rPr>
                <w:rFonts w:ascii="Arial" w:hAnsi="Arial" w:eastAsia="Arial" w:cs="Arial"/>
                <w:color w:val="333333"/>
                <w:sz w:val="24"/>
                <w:szCs w:val="24"/>
              </w:rPr>
              <w:t xml:space="preserve"> </w:t>
            </w:r>
            <w:r>
              <w:rPr>
                <w:rFonts w:ascii="Times New Roman" w:hAnsi="Times New Roman" w:eastAsia="Times New Roman" w:cs="Times New Roman"/>
                <w:color w:val="333333"/>
                <w:sz w:val="24"/>
                <w:szCs w:val="24"/>
              </w:rPr>
              <w:t>12</w:t>
            </w:r>
            <w:r>
              <w:rPr>
                <w:rFonts w:ascii="Arial" w:hAnsi="Arial" w:eastAsia="Arial" w:cs="Arial"/>
                <w:color w:val="333333"/>
                <w:sz w:val="24"/>
                <w:szCs w:val="24"/>
              </w:rPr>
              <w:t xml:space="preserve">  </w:t>
            </w:r>
            <w:r>
              <w:rPr>
                <w:rFonts w:ascii="宋体" w:hAnsi="宋体" w:eastAsia="宋体" w:cs="宋体"/>
                <w:color w:val="333333"/>
                <w:sz w:val="24"/>
                <w:szCs w:val="24"/>
              </w:rPr>
              <w:t>个月内因重大违法违规行为被中</w:t>
            </w:r>
          </w:p>
        </w:tc>
        <w:tc>
          <w:tcPr>
            <w:tcW w:w="1420" w:type="dxa"/>
            <w:vMerge w:val="restart"/>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证监会</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64" w:hRule="atLeast"/>
        </w:trPr>
        <w:tc>
          <w:tcPr>
            <w:tcW w:w="1800" w:type="dxa"/>
            <w:vMerge w:val="restart"/>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权激励对象事</w:t>
            </w:r>
          </w:p>
        </w:tc>
        <w:tc>
          <w:tcPr>
            <w:tcW w:w="10620" w:type="dxa"/>
            <w:vMerge w:val="restart"/>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国证监会及其派出机构行政处罚或者采取市场禁入措施；（四）具有《公司法》规定的不得担任公</w:t>
            </w:r>
          </w:p>
        </w:tc>
        <w:tc>
          <w:tcPr>
            <w:tcW w:w="1420" w:type="dxa"/>
            <w:vMerge w:val="continue"/>
            <w:tcBorders>
              <w:right w:val="single" w:color="auto" w:sz="8" w:space="0"/>
            </w:tcBorders>
            <w:vAlign w:val="bottom"/>
          </w:tcPr>
          <w:p>
            <w:pPr>
              <w:spacing w:after="0"/>
              <w:rPr>
                <w:color w:val="auto"/>
                <w:sz w:val="14"/>
                <w:szCs w:val="1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5" w:hRule="atLeast"/>
        </w:trPr>
        <w:tc>
          <w:tcPr>
            <w:tcW w:w="1800" w:type="dxa"/>
            <w:vMerge w:val="continue"/>
            <w:tcBorders>
              <w:left w:val="single" w:color="auto" w:sz="8" w:space="0"/>
              <w:right w:val="single" w:color="auto" w:sz="8" w:space="0"/>
            </w:tcBorders>
            <w:vAlign w:val="bottom"/>
          </w:tcPr>
          <w:p>
            <w:pPr>
              <w:spacing w:after="0"/>
              <w:rPr>
                <w:color w:val="auto"/>
                <w:sz w:val="15"/>
                <w:szCs w:val="15"/>
              </w:rPr>
            </w:pPr>
          </w:p>
        </w:tc>
        <w:tc>
          <w:tcPr>
            <w:tcW w:w="10620" w:type="dxa"/>
            <w:vMerge w:val="continue"/>
            <w:tcBorders>
              <w:right w:val="single" w:color="auto" w:sz="8" w:space="0"/>
            </w:tcBorders>
            <w:vAlign w:val="bottom"/>
          </w:tcPr>
          <w:p>
            <w:pPr>
              <w:spacing w:after="0"/>
              <w:rPr>
                <w:color w:val="auto"/>
                <w:sz w:val="15"/>
                <w:szCs w:val="15"/>
              </w:rPr>
            </w:pPr>
          </w:p>
        </w:tc>
        <w:tc>
          <w:tcPr>
            <w:tcW w:w="1420" w:type="dxa"/>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w w:val="97"/>
                <w:sz w:val="24"/>
                <w:szCs w:val="24"/>
              </w:rPr>
              <w:t>中事后监管中，</w:t>
            </w:r>
          </w:p>
        </w:tc>
        <w:tc>
          <w:tcPr>
            <w:tcW w:w="1062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司董事、高级管理人员情形的；（五）法律法规规定不得参与上市公司股权激励的；（六）中国证</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对失信主体予</w:t>
            </w:r>
          </w:p>
        </w:tc>
        <w:tc>
          <w:tcPr>
            <w:tcW w:w="1062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监会认定的其他情形。</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以关注。</w:t>
            </w:r>
          </w:p>
        </w:tc>
        <w:tc>
          <w:tcPr>
            <w:tcW w:w="10620" w:type="dxa"/>
            <w:tcBorders>
              <w:right w:val="single" w:color="auto" w:sz="8" w:space="0"/>
            </w:tcBorders>
            <w:vAlign w:val="bottom"/>
          </w:tcPr>
          <w:p>
            <w:pPr>
              <w:spacing w:after="0"/>
              <w:rPr>
                <w:color w:val="auto"/>
                <w:sz w:val="24"/>
                <w:szCs w:val="24"/>
              </w:rPr>
            </w:pP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42" w:hRule="atLeast"/>
        </w:trPr>
        <w:tc>
          <w:tcPr>
            <w:tcW w:w="180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10620" w:type="dxa"/>
            <w:tcBorders>
              <w:bottom w:val="single" w:color="auto" w:sz="8" w:space="0"/>
              <w:right w:val="single" w:color="auto" w:sz="8" w:space="0"/>
            </w:tcBorders>
            <w:vAlign w:val="bottom"/>
          </w:tcPr>
          <w:p>
            <w:pPr>
              <w:spacing w:after="0"/>
              <w:rPr>
                <w:color w:val="auto"/>
                <w:sz w:val="3"/>
                <w:szCs w:val="3"/>
              </w:rPr>
            </w:pPr>
          </w:p>
        </w:tc>
        <w:tc>
          <w:tcPr>
            <w:tcW w:w="1420" w:type="dxa"/>
            <w:tcBorders>
              <w:bottom w:val="single" w:color="auto" w:sz="8" w:space="0"/>
              <w:right w:val="single" w:color="auto" w:sz="8" w:space="0"/>
            </w:tcBorders>
            <w:vAlign w:val="bottom"/>
          </w:tcPr>
          <w:p>
            <w:pPr>
              <w:spacing w:after="0"/>
              <w:rPr>
                <w:color w:val="auto"/>
                <w:sz w:val="3"/>
                <w:szCs w:val="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12" w:hRule="atLeast"/>
        </w:trPr>
        <w:tc>
          <w:tcPr>
            <w:tcW w:w="1800" w:type="dxa"/>
            <w:tcBorders>
              <w:left w:val="single" w:color="auto" w:sz="8" w:space="0"/>
              <w:right w:val="single" w:color="auto" w:sz="8" w:space="0"/>
            </w:tcBorders>
            <w:vAlign w:val="bottom"/>
          </w:tcPr>
          <w:p>
            <w:pPr>
              <w:spacing w:after="0" w:line="292" w:lineRule="exact"/>
              <w:ind w:left="120"/>
              <w:rPr>
                <w:color w:val="auto"/>
                <w:sz w:val="20"/>
                <w:szCs w:val="20"/>
              </w:rPr>
            </w:pPr>
            <w:r>
              <w:rPr>
                <w:rFonts w:ascii="Times New Roman" w:hAnsi="Times New Roman" w:eastAsia="Times New Roman" w:cs="Times New Roman"/>
                <w:color w:val="333333"/>
                <w:w w:val="97"/>
                <w:sz w:val="24"/>
                <w:szCs w:val="24"/>
              </w:rPr>
              <w:t>18</w:t>
            </w:r>
            <w:r>
              <w:rPr>
                <w:rFonts w:ascii="宋体" w:hAnsi="宋体" w:eastAsia="宋体" w:cs="宋体"/>
                <w:color w:val="333333"/>
                <w:w w:val="97"/>
                <w:sz w:val="24"/>
                <w:szCs w:val="24"/>
              </w:rPr>
              <w:t>、在审批证券</w:t>
            </w:r>
          </w:p>
        </w:tc>
        <w:tc>
          <w:tcPr>
            <w:tcW w:w="1062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333333"/>
                <w:sz w:val="24"/>
                <w:szCs w:val="24"/>
              </w:rPr>
              <w:t>1</w:t>
            </w:r>
            <w:r>
              <w:rPr>
                <w:rFonts w:ascii="宋体" w:hAnsi="宋体" w:eastAsia="宋体" w:cs="宋体"/>
                <w:b/>
                <w:bCs/>
                <w:color w:val="333333"/>
                <w:sz w:val="24"/>
                <w:szCs w:val="24"/>
              </w:rPr>
              <w:t>、《中华人民共和国证券法》</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36" w:hRule="atLeast"/>
        </w:trPr>
        <w:tc>
          <w:tcPr>
            <w:tcW w:w="180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w w:val="97"/>
                <w:sz w:val="24"/>
                <w:szCs w:val="24"/>
              </w:rPr>
              <w:t>公司、基金管理</w:t>
            </w:r>
          </w:p>
        </w:tc>
        <w:tc>
          <w:tcPr>
            <w:tcW w:w="10620" w:type="dxa"/>
            <w:tcBorders>
              <w:right w:val="single" w:color="auto" w:sz="8" w:space="0"/>
            </w:tcBorders>
            <w:vAlign w:val="bottom"/>
          </w:tcPr>
          <w:p>
            <w:pPr>
              <w:spacing w:after="0" w:line="291" w:lineRule="exact"/>
              <w:ind w:left="580"/>
              <w:rPr>
                <w:color w:val="auto"/>
                <w:sz w:val="20"/>
                <w:szCs w:val="20"/>
              </w:rPr>
            </w:pPr>
            <w:r>
              <w:rPr>
                <w:rFonts w:ascii="宋体" w:hAnsi="宋体" w:eastAsia="宋体" w:cs="宋体"/>
                <w:color w:val="333333"/>
                <w:sz w:val="24"/>
                <w:szCs w:val="24"/>
              </w:rPr>
              <w:t>第一百二十四条 设立证券公司，应当具备下列条件：</w:t>
            </w:r>
            <w:r>
              <w:rPr>
                <w:rFonts w:ascii="Arial" w:hAnsi="Arial" w:eastAsia="Arial" w:cs="Arial"/>
                <w:color w:val="333333"/>
                <w:sz w:val="24"/>
                <w:szCs w:val="24"/>
              </w:rPr>
              <w:t>…</w:t>
            </w:r>
            <w:r>
              <w:rPr>
                <w:rFonts w:ascii="宋体" w:hAnsi="宋体" w:eastAsia="宋体" w:cs="宋体"/>
                <w:color w:val="333333"/>
                <w:sz w:val="24"/>
                <w:szCs w:val="24"/>
              </w:rPr>
              <w:t>（二）主要股东具有持续盈利能力，信</w:t>
            </w:r>
          </w:p>
        </w:tc>
        <w:tc>
          <w:tcPr>
            <w:tcW w:w="142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证监会</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w w:val="97"/>
                <w:sz w:val="24"/>
                <w:szCs w:val="24"/>
              </w:rPr>
              <w:t>公司、期货公司</w:t>
            </w:r>
          </w:p>
        </w:tc>
        <w:tc>
          <w:tcPr>
            <w:tcW w:w="10620" w:type="dxa"/>
            <w:tcBorders>
              <w:right w:val="single" w:color="auto" w:sz="8" w:space="0"/>
            </w:tcBorders>
            <w:vAlign w:val="bottom"/>
          </w:tcPr>
          <w:p>
            <w:pPr>
              <w:spacing w:after="0" w:line="291" w:lineRule="exact"/>
              <w:ind w:left="100"/>
              <w:rPr>
                <w:color w:val="auto"/>
                <w:sz w:val="20"/>
                <w:szCs w:val="20"/>
              </w:rPr>
            </w:pPr>
            <w:r>
              <w:rPr>
                <w:rFonts w:ascii="宋体" w:hAnsi="宋体" w:eastAsia="宋体" w:cs="宋体"/>
                <w:color w:val="333333"/>
                <w:sz w:val="24"/>
                <w:szCs w:val="24"/>
              </w:rPr>
              <w:t>誉良好，最近三年无重大违法违规记录，净资产不低于人民币二亿元</w:t>
            </w:r>
            <w:r>
              <w:rPr>
                <w:rFonts w:ascii="Arial" w:hAnsi="Arial" w:eastAsia="Arial" w:cs="Arial"/>
                <w:color w:val="333333"/>
                <w:sz w:val="24"/>
                <w:szCs w:val="24"/>
              </w:rPr>
              <w:t xml:space="preserve">; … </w:t>
            </w:r>
            <w:r>
              <w:rPr>
                <w:rFonts w:ascii="宋体" w:hAnsi="宋体" w:eastAsia="宋体" w:cs="宋体"/>
                <w:color w:val="333333"/>
                <w:sz w:val="24"/>
                <w:szCs w:val="24"/>
              </w:rPr>
              <w:t>（五）有完善的风险管理</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40" w:hRule="atLeast"/>
        </w:trPr>
        <w:tc>
          <w:tcPr>
            <w:tcW w:w="180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10620" w:type="dxa"/>
            <w:tcBorders>
              <w:bottom w:val="single" w:color="auto" w:sz="8" w:space="0"/>
              <w:right w:val="single" w:color="auto" w:sz="8" w:space="0"/>
            </w:tcBorders>
            <w:vAlign w:val="bottom"/>
          </w:tcPr>
          <w:p>
            <w:pPr>
              <w:spacing w:after="0"/>
              <w:rPr>
                <w:color w:val="auto"/>
                <w:sz w:val="3"/>
                <w:szCs w:val="3"/>
              </w:rPr>
            </w:pPr>
          </w:p>
        </w:tc>
        <w:tc>
          <w:tcPr>
            <w:tcW w:w="1420" w:type="dxa"/>
            <w:tcBorders>
              <w:bottom w:val="single" w:color="auto" w:sz="8" w:space="0"/>
              <w:right w:val="single" w:color="auto" w:sz="8" w:space="0"/>
            </w:tcBorders>
            <w:vAlign w:val="bottom"/>
          </w:tcPr>
          <w:p>
            <w:pPr>
              <w:spacing w:after="0"/>
              <w:rPr>
                <w:color w:val="auto"/>
                <w:sz w:val="3"/>
                <w:szCs w:val="3"/>
              </w:rPr>
            </w:pPr>
          </w:p>
        </w:tc>
        <w:tc>
          <w:tcPr>
            <w:tcW w:w="0" w:type="dxa"/>
            <w:vAlign w:val="bottom"/>
          </w:tcPr>
          <w:p>
            <w:pPr>
              <w:spacing w:after="0"/>
              <w:rPr>
                <w:color w:val="auto"/>
                <w:sz w:val="1"/>
                <w:szCs w:val="1"/>
              </w:rPr>
            </w:pPr>
          </w:p>
        </w:tc>
      </w:tr>
    </w:tbl>
    <w:p>
      <w:pPr>
        <w:spacing w:after="0" w:line="200" w:lineRule="exact"/>
        <w:rPr>
          <w:color w:val="auto"/>
          <w:sz w:val="20"/>
          <w:szCs w:val="20"/>
        </w:rPr>
      </w:pPr>
    </w:p>
    <w:p>
      <w:pPr>
        <w:sectPr>
          <w:pgSz w:w="16840" w:h="11906" w:orient="landscape"/>
          <w:pgMar w:top="1440" w:right="1440" w:bottom="808" w:left="1440" w:header="0" w:footer="0" w:gutter="0"/>
          <w:cols w:equalWidth="0" w:num="1">
            <w:col w:w="13958"/>
          </w:cols>
        </w:sectPr>
      </w:pPr>
    </w:p>
    <w:p>
      <w:pPr>
        <w:spacing w:after="0" w:line="188" w:lineRule="exact"/>
        <w:rPr>
          <w:color w:val="auto"/>
          <w:sz w:val="20"/>
          <w:szCs w:val="20"/>
        </w:rPr>
      </w:pPr>
    </w:p>
    <w:p>
      <w:pPr>
        <w:spacing w:after="0"/>
        <w:ind w:right="-1"/>
        <w:jc w:val="center"/>
        <w:rPr>
          <w:color w:val="auto"/>
          <w:sz w:val="20"/>
          <w:szCs w:val="20"/>
        </w:rPr>
      </w:pPr>
      <w:r>
        <w:rPr>
          <w:rFonts w:ascii="Times New Roman" w:hAnsi="Times New Roman" w:eastAsia="Times New Roman" w:cs="Times New Roman"/>
          <w:color w:val="auto"/>
          <w:sz w:val="24"/>
          <w:szCs w:val="24"/>
        </w:rPr>
        <w:t>13</w:t>
      </w:r>
    </w:p>
    <w:p>
      <w:pPr>
        <w:sectPr>
          <w:type w:val="continuous"/>
          <w:pgSz w:w="16840" w:h="11906" w:orient="landscape"/>
          <w:pgMar w:top="1440" w:right="1440" w:bottom="808" w:left="1440" w:header="0" w:footer="0" w:gutter="0"/>
          <w:cols w:equalWidth="0" w:num="1">
            <w:col w:w="13958"/>
          </w:cols>
        </w:sectPr>
      </w:pPr>
    </w:p>
    <w:p>
      <w:pPr>
        <w:spacing w:after="0" w:line="298" w:lineRule="exact"/>
        <w:rPr>
          <w:color w:val="auto"/>
          <w:sz w:val="20"/>
          <w:szCs w:val="20"/>
        </w:rPr>
      </w:pPr>
      <w:bookmarkStart w:id="12" w:name="page20"/>
      <w:bookmarkEnd w:id="12"/>
    </w:p>
    <w:tbl>
      <w:tblPr>
        <w:tblStyle w:val="2"/>
        <w:tblW w:w="0" w:type="auto"/>
        <w:tblInd w:w="70" w:type="dxa"/>
        <w:tblLayout w:type="fixed"/>
        <w:tblCellMar>
          <w:top w:w="0" w:type="dxa"/>
          <w:left w:w="0" w:type="dxa"/>
          <w:bottom w:w="0" w:type="dxa"/>
          <w:right w:w="0" w:type="dxa"/>
        </w:tblCellMar>
      </w:tblPr>
      <w:tblGrid>
        <w:gridCol w:w="1800"/>
        <w:gridCol w:w="10620"/>
        <w:gridCol w:w="1420"/>
      </w:tblGrid>
      <w:tr>
        <w:tblPrEx>
          <w:tblCellMar>
            <w:top w:w="0" w:type="dxa"/>
            <w:left w:w="0" w:type="dxa"/>
            <w:bottom w:w="0" w:type="dxa"/>
            <w:right w:w="0" w:type="dxa"/>
          </w:tblCellMar>
        </w:tblPrEx>
        <w:trPr>
          <w:trHeight w:val="319" w:hRule="atLeast"/>
        </w:trPr>
        <w:tc>
          <w:tcPr>
            <w:tcW w:w="1800" w:type="dxa"/>
            <w:tcBorders>
              <w:top w:val="single" w:color="auto" w:sz="8" w:space="0"/>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w w:val="97"/>
                <w:sz w:val="24"/>
                <w:szCs w:val="24"/>
              </w:rPr>
              <w:t>的设立、私募基</w:t>
            </w:r>
          </w:p>
        </w:tc>
        <w:tc>
          <w:tcPr>
            <w:tcW w:w="10620" w:type="dxa"/>
            <w:tcBorders>
              <w:top w:val="single" w:color="auto" w:sz="8" w:space="0"/>
              <w:right w:val="single" w:color="auto" w:sz="8" w:space="0"/>
            </w:tcBorders>
            <w:vAlign w:val="bottom"/>
          </w:tcPr>
          <w:p>
            <w:pPr>
              <w:spacing w:after="0" w:line="291" w:lineRule="exact"/>
              <w:ind w:left="100"/>
              <w:rPr>
                <w:color w:val="auto"/>
                <w:sz w:val="20"/>
                <w:szCs w:val="20"/>
              </w:rPr>
            </w:pPr>
            <w:r>
              <w:rPr>
                <w:rFonts w:ascii="宋体" w:hAnsi="宋体" w:eastAsia="宋体" w:cs="宋体"/>
                <w:color w:val="333333"/>
                <w:sz w:val="24"/>
                <w:szCs w:val="24"/>
              </w:rPr>
              <w:t>与内部控制制度</w:t>
            </w:r>
            <w:r>
              <w:rPr>
                <w:rFonts w:ascii="Arial" w:hAnsi="Arial" w:eastAsia="Arial" w:cs="Arial"/>
                <w:color w:val="333333"/>
                <w:sz w:val="24"/>
                <w:szCs w:val="24"/>
              </w:rPr>
              <w:t>; …</w:t>
            </w:r>
          </w:p>
        </w:tc>
        <w:tc>
          <w:tcPr>
            <w:tcW w:w="1420" w:type="dxa"/>
            <w:tcBorders>
              <w:top w:val="single" w:color="auto" w:sz="8" w:space="0"/>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64" w:hRule="atLeast"/>
        </w:trPr>
        <w:tc>
          <w:tcPr>
            <w:tcW w:w="180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金管理人登记</w:t>
            </w:r>
          </w:p>
        </w:tc>
        <w:tc>
          <w:tcPr>
            <w:tcW w:w="1062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333333"/>
                <w:sz w:val="24"/>
                <w:szCs w:val="24"/>
              </w:rPr>
              <w:t>2</w:t>
            </w:r>
            <w:r>
              <w:rPr>
                <w:rFonts w:ascii="宋体" w:hAnsi="宋体" w:eastAsia="宋体" w:cs="宋体"/>
                <w:b/>
                <w:bCs/>
                <w:color w:val="333333"/>
                <w:sz w:val="24"/>
                <w:szCs w:val="24"/>
              </w:rPr>
              <w:t>、《证券公司监督管理条例》</w:t>
            </w: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line="292" w:lineRule="exact"/>
              <w:ind w:left="120"/>
              <w:rPr>
                <w:color w:val="auto"/>
                <w:sz w:val="20"/>
                <w:szCs w:val="20"/>
              </w:rPr>
            </w:pPr>
            <w:r>
              <w:rPr>
                <w:rFonts w:ascii="宋体" w:hAnsi="宋体" w:eastAsia="宋体" w:cs="宋体"/>
                <w:color w:val="333333"/>
                <w:sz w:val="24"/>
                <w:szCs w:val="24"/>
              </w:rPr>
              <w:t>及变更持有</w:t>
            </w:r>
            <w:r>
              <w:rPr>
                <w:rFonts w:ascii="Times New Roman" w:hAnsi="Times New Roman" w:eastAsia="Times New Roman" w:cs="Times New Roman"/>
                <w:color w:val="333333"/>
                <w:sz w:val="24"/>
                <w:szCs w:val="24"/>
              </w:rPr>
              <w:t xml:space="preserve"> 5%</w:t>
            </w:r>
          </w:p>
        </w:tc>
        <w:tc>
          <w:tcPr>
            <w:tcW w:w="10620" w:type="dxa"/>
            <w:tcBorders>
              <w:right w:val="single" w:color="auto" w:sz="8" w:space="0"/>
            </w:tcBorders>
            <w:vAlign w:val="bottom"/>
          </w:tcPr>
          <w:p>
            <w:pPr>
              <w:spacing w:after="0" w:line="292" w:lineRule="exact"/>
              <w:ind w:left="580"/>
              <w:rPr>
                <w:color w:val="auto"/>
                <w:sz w:val="20"/>
                <w:szCs w:val="20"/>
              </w:rPr>
            </w:pPr>
            <w:r>
              <w:rPr>
                <w:rFonts w:ascii="宋体" w:hAnsi="宋体" w:eastAsia="宋体" w:cs="宋体"/>
                <w:color w:val="333333"/>
                <w:sz w:val="24"/>
                <w:szCs w:val="24"/>
              </w:rPr>
              <w:t>第十条  有下列情形之一的单位或者个人，不得成为持有证券公司</w:t>
            </w:r>
            <w:r>
              <w:rPr>
                <w:rFonts w:ascii="Times New Roman" w:hAnsi="Times New Roman" w:eastAsia="Times New Roman" w:cs="Times New Roman"/>
                <w:color w:val="333333"/>
                <w:sz w:val="24"/>
                <w:szCs w:val="24"/>
              </w:rPr>
              <w:t xml:space="preserve"> 5%</w:t>
            </w:r>
            <w:r>
              <w:rPr>
                <w:rFonts w:ascii="宋体" w:hAnsi="宋体" w:eastAsia="宋体" w:cs="宋体"/>
                <w:color w:val="333333"/>
                <w:sz w:val="24"/>
                <w:szCs w:val="24"/>
              </w:rPr>
              <w:t>以上股权的股东、实际控</w:t>
            </w: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36" w:hRule="atLeast"/>
        </w:trPr>
        <w:tc>
          <w:tcPr>
            <w:tcW w:w="180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以上股权的股</w:t>
            </w:r>
          </w:p>
        </w:tc>
        <w:tc>
          <w:tcPr>
            <w:tcW w:w="10620" w:type="dxa"/>
            <w:tcBorders>
              <w:right w:val="single" w:color="auto" w:sz="8" w:space="0"/>
            </w:tcBorders>
            <w:vAlign w:val="bottom"/>
          </w:tcPr>
          <w:p>
            <w:pPr>
              <w:spacing w:after="0" w:line="291" w:lineRule="exact"/>
              <w:ind w:left="100"/>
              <w:rPr>
                <w:color w:val="auto"/>
                <w:sz w:val="20"/>
                <w:szCs w:val="20"/>
              </w:rPr>
            </w:pPr>
            <w:r>
              <w:rPr>
                <w:rFonts w:ascii="宋体" w:hAnsi="宋体" w:eastAsia="宋体" w:cs="宋体"/>
                <w:color w:val="333333"/>
                <w:sz w:val="24"/>
                <w:szCs w:val="24"/>
              </w:rPr>
              <w:t>制人：</w:t>
            </w:r>
            <w:r>
              <w:rPr>
                <w:rFonts w:ascii="Arial" w:hAnsi="Arial" w:eastAsia="Arial" w:cs="Arial"/>
                <w:color w:val="333333"/>
                <w:sz w:val="24"/>
                <w:szCs w:val="24"/>
              </w:rPr>
              <w:t xml:space="preserve">… </w:t>
            </w:r>
            <w:r>
              <w:rPr>
                <w:rFonts w:ascii="宋体" w:hAnsi="宋体" w:eastAsia="宋体" w:cs="宋体"/>
                <w:color w:val="333333"/>
                <w:sz w:val="24"/>
                <w:szCs w:val="24"/>
              </w:rPr>
              <w:t>（三）不能清偿到期债务；</w:t>
            </w:r>
            <w:r>
              <w:rPr>
                <w:rFonts w:ascii="Arial" w:hAnsi="Arial" w:eastAsia="Arial" w:cs="Arial"/>
                <w:color w:val="333333"/>
                <w:sz w:val="24"/>
                <w:szCs w:val="24"/>
              </w:rPr>
              <w:t>…</w:t>
            </w: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64" w:hRule="atLeast"/>
        </w:trPr>
        <w:tc>
          <w:tcPr>
            <w:tcW w:w="180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w w:val="97"/>
                <w:sz w:val="24"/>
                <w:szCs w:val="24"/>
              </w:rPr>
              <w:t>东、实际控制人</w:t>
            </w:r>
          </w:p>
        </w:tc>
        <w:tc>
          <w:tcPr>
            <w:tcW w:w="1062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333333"/>
                <w:sz w:val="24"/>
                <w:szCs w:val="24"/>
              </w:rPr>
              <w:t>3</w:t>
            </w:r>
            <w:r>
              <w:rPr>
                <w:rFonts w:ascii="宋体" w:hAnsi="宋体" w:eastAsia="宋体" w:cs="宋体"/>
                <w:b/>
                <w:bCs/>
                <w:color w:val="333333"/>
                <w:sz w:val="24"/>
                <w:szCs w:val="24"/>
              </w:rPr>
              <w:t>、《中华人民共和国证券投资基金法》</w:t>
            </w: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39" w:hRule="atLeast"/>
        </w:trPr>
        <w:tc>
          <w:tcPr>
            <w:tcW w:w="180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w w:val="97"/>
                <w:sz w:val="24"/>
                <w:szCs w:val="24"/>
              </w:rPr>
              <w:t>时，将其失信信</w:t>
            </w:r>
          </w:p>
        </w:tc>
        <w:tc>
          <w:tcPr>
            <w:tcW w:w="1062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333333"/>
                <w:sz w:val="24"/>
                <w:szCs w:val="24"/>
              </w:rPr>
              <w:t>第十三条 设立管理公开募集基金的基金管理公司，应当具备下列条件，并经国务院证券监督管</w:t>
            </w: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48" w:hRule="atLeast"/>
        </w:trPr>
        <w:tc>
          <w:tcPr>
            <w:tcW w:w="180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息作为审批的</w:t>
            </w:r>
          </w:p>
        </w:tc>
        <w:tc>
          <w:tcPr>
            <w:tcW w:w="10620" w:type="dxa"/>
            <w:tcBorders>
              <w:right w:val="single" w:color="auto" w:sz="8" w:space="0"/>
            </w:tcBorders>
            <w:vAlign w:val="bottom"/>
          </w:tcPr>
          <w:p>
            <w:pPr>
              <w:spacing w:after="0" w:line="291" w:lineRule="exact"/>
              <w:ind w:left="100"/>
              <w:rPr>
                <w:color w:val="auto"/>
                <w:sz w:val="20"/>
                <w:szCs w:val="20"/>
              </w:rPr>
            </w:pPr>
            <w:r>
              <w:rPr>
                <w:rFonts w:ascii="宋体" w:hAnsi="宋体" w:eastAsia="宋体" w:cs="宋体"/>
                <w:color w:val="333333"/>
                <w:sz w:val="24"/>
                <w:szCs w:val="24"/>
              </w:rPr>
              <w:t>理机构批准：</w:t>
            </w:r>
            <w:r>
              <w:rPr>
                <w:rFonts w:ascii="Arial" w:hAnsi="Arial" w:eastAsia="Arial" w:cs="Arial"/>
                <w:color w:val="333333"/>
                <w:sz w:val="24"/>
                <w:szCs w:val="24"/>
              </w:rPr>
              <w:t>…</w:t>
            </w:r>
            <w:r>
              <w:rPr>
                <w:rFonts w:ascii="宋体" w:hAnsi="宋体" w:eastAsia="宋体" w:cs="宋体"/>
                <w:color w:val="333333"/>
                <w:sz w:val="24"/>
                <w:szCs w:val="24"/>
              </w:rPr>
              <w:t>（三）主要股东应当具有经营金融业务或者管理金融机构的良好业绩、良好的财务</w:t>
            </w: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53" w:hRule="atLeast"/>
        </w:trPr>
        <w:tc>
          <w:tcPr>
            <w:tcW w:w="180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参考。</w:t>
            </w:r>
          </w:p>
        </w:tc>
        <w:tc>
          <w:tcPr>
            <w:tcW w:w="10620" w:type="dxa"/>
            <w:tcBorders>
              <w:right w:val="single" w:color="auto" w:sz="8" w:space="0"/>
            </w:tcBorders>
            <w:vAlign w:val="bottom"/>
          </w:tcPr>
          <w:p>
            <w:pPr>
              <w:spacing w:after="0" w:line="291" w:lineRule="exact"/>
              <w:ind w:left="100"/>
              <w:rPr>
                <w:color w:val="auto"/>
                <w:sz w:val="20"/>
                <w:szCs w:val="20"/>
              </w:rPr>
            </w:pPr>
            <w:r>
              <w:rPr>
                <w:rFonts w:ascii="宋体" w:hAnsi="宋体" w:eastAsia="宋体" w:cs="宋体"/>
                <w:color w:val="333333"/>
                <w:sz w:val="24"/>
                <w:szCs w:val="24"/>
              </w:rPr>
              <w:t>状况和社会信誉，资产规模达到国务院规定的标准，最近三年没有违法记录；</w:t>
            </w:r>
            <w:r>
              <w:rPr>
                <w:rFonts w:ascii="Arial" w:hAnsi="Arial" w:eastAsia="Arial" w:cs="Arial"/>
                <w:color w:val="333333"/>
                <w:sz w:val="24"/>
                <w:szCs w:val="24"/>
              </w:rPr>
              <w:t>…</w:t>
            </w:r>
            <w:r>
              <w:rPr>
                <w:rFonts w:ascii="宋体" w:hAnsi="宋体" w:eastAsia="宋体" w:cs="宋体"/>
                <w:color w:val="333333"/>
                <w:sz w:val="24"/>
                <w:szCs w:val="24"/>
              </w:rPr>
              <w:t>（七）有良好的内</w:t>
            </w: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91" w:lineRule="exact"/>
              <w:ind w:left="100"/>
              <w:rPr>
                <w:color w:val="auto"/>
                <w:sz w:val="20"/>
                <w:szCs w:val="20"/>
              </w:rPr>
            </w:pPr>
            <w:r>
              <w:rPr>
                <w:rFonts w:ascii="宋体" w:hAnsi="宋体" w:eastAsia="宋体" w:cs="宋体"/>
                <w:color w:val="333333"/>
                <w:sz w:val="24"/>
                <w:szCs w:val="24"/>
              </w:rPr>
              <w:t>部治理结构、完善的内部稽核监控制度、风险控制制度；</w:t>
            </w:r>
            <w:r>
              <w:rPr>
                <w:rFonts w:ascii="Arial" w:hAnsi="Arial" w:eastAsia="Arial" w:cs="Arial"/>
                <w:color w:val="333333"/>
                <w:sz w:val="24"/>
                <w:szCs w:val="24"/>
              </w:rPr>
              <w:t>…</w:t>
            </w: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64"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333333"/>
                <w:sz w:val="24"/>
                <w:szCs w:val="24"/>
              </w:rPr>
              <w:t>4</w:t>
            </w:r>
            <w:r>
              <w:rPr>
                <w:rFonts w:ascii="宋体" w:hAnsi="宋体" w:eastAsia="宋体" w:cs="宋体"/>
                <w:b/>
                <w:bCs/>
                <w:color w:val="333333"/>
                <w:sz w:val="24"/>
                <w:szCs w:val="24"/>
              </w:rPr>
              <w:t>、《证券投资基金管理公司管理办法》</w:t>
            </w: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36"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333333"/>
                <w:sz w:val="24"/>
                <w:szCs w:val="24"/>
              </w:rPr>
              <w:t>第七条 申请设立基金管理公司，出资或者持有股份占基金管理公司注册资本的比例（以下简称</w:t>
            </w: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64"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92" w:lineRule="exact"/>
              <w:ind w:left="100"/>
              <w:rPr>
                <w:color w:val="auto"/>
                <w:sz w:val="20"/>
                <w:szCs w:val="20"/>
              </w:rPr>
            </w:pPr>
            <w:r>
              <w:rPr>
                <w:rFonts w:ascii="宋体" w:hAnsi="宋体" w:eastAsia="宋体" w:cs="宋体"/>
                <w:color w:val="333333"/>
                <w:sz w:val="24"/>
                <w:szCs w:val="24"/>
              </w:rPr>
              <w:t>持股比例）在</w:t>
            </w:r>
            <w:r>
              <w:rPr>
                <w:rFonts w:ascii="Times New Roman" w:hAnsi="Times New Roman" w:eastAsia="Times New Roman" w:cs="Times New Roman"/>
                <w:color w:val="333333"/>
                <w:sz w:val="24"/>
                <w:szCs w:val="24"/>
              </w:rPr>
              <w:t xml:space="preserve"> 5%</w:t>
            </w:r>
            <w:r>
              <w:rPr>
                <w:rFonts w:ascii="宋体" w:hAnsi="宋体" w:eastAsia="宋体" w:cs="宋体"/>
                <w:color w:val="333333"/>
                <w:sz w:val="24"/>
                <w:szCs w:val="24"/>
              </w:rPr>
              <w:t>以上的股东，应当具备下列条件：</w:t>
            </w:r>
            <w:r>
              <w:rPr>
                <w:rFonts w:ascii="Arial" w:hAnsi="Arial" w:eastAsia="Arial" w:cs="Arial"/>
                <w:color w:val="333333"/>
                <w:sz w:val="24"/>
                <w:szCs w:val="24"/>
              </w:rPr>
              <w:t>…</w:t>
            </w:r>
            <w:r>
              <w:rPr>
                <w:rFonts w:ascii="宋体" w:hAnsi="宋体" w:eastAsia="宋体" w:cs="宋体"/>
                <w:color w:val="333333"/>
                <w:sz w:val="24"/>
                <w:szCs w:val="24"/>
              </w:rPr>
              <w:t>（六）具有良好的社会信誉，近</w:t>
            </w:r>
            <w:r>
              <w:rPr>
                <w:rFonts w:ascii="Times New Roman" w:hAnsi="Times New Roman" w:eastAsia="Times New Roman" w:cs="Times New Roman"/>
                <w:color w:val="333333"/>
                <w:sz w:val="24"/>
                <w:szCs w:val="24"/>
              </w:rPr>
              <w:t xml:space="preserve"> </w:t>
            </w:r>
            <w:r>
              <w:rPr>
                <w:rFonts w:ascii="Arial" w:hAnsi="Arial" w:eastAsia="Arial" w:cs="Arial"/>
                <w:color w:val="333333"/>
                <w:sz w:val="24"/>
                <w:szCs w:val="24"/>
              </w:rPr>
              <w:t>3</w:t>
            </w:r>
            <w:r>
              <w:rPr>
                <w:rFonts w:ascii="Times New Roman" w:hAnsi="Times New Roman" w:eastAsia="Times New Roman" w:cs="Times New Roman"/>
                <w:color w:val="333333"/>
                <w:sz w:val="24"/>
                <w:szCs w:val="24"/>
              </w:rPr>
              <w:t xml:space="preserve"> </w:t>
            </w:r>
            <w:r>
              <w:rPr>
                <w:rFonts w:ascii="宋体" w:hAnsi="宋体" w:eastAsia="宋体" w:cs="宋体"/>
                <w:color w:val="333333"/>
                <w:sz w:val="24"/>
                <w:szCs w:val="24"/>
              </w:rPr>
              <w:t>年在金融监</w:t>
            </w: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36"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管、税务、工商等行政机关，以及自律管理、商业银行等机构无不良记录。</w:t>
            </w: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64"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333333"/>
                <w:sz w:val="24"/>
                <w:szCs w:val="24"/>
              </w:rPr>
              <w:t>5</w:t>
            </w:r>
            <w:r>
              <w:rPr>
                <w:rFonts w:ascii="宋体" w:hAnsi="宋体" w:eastAsia="宋体" w:cs="宋体"/>
                <w:b/>
                <w:bCs/>
                <w:color w:val="333333"/>
                <w:sz w:val="24"/>
                <w:szCs w:val="24"/>
              </w:rPr>
              <w:t>、《私募投资基金监督管理暂行办法》</w:t>
            </w: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36"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333333"/>
                <w:sz w:val="24"/>
                <w:szCs w:val="24"/>
              </w:rPr>
              <w:t>第三条 从事私募基金业务，应当遵循自愿、公平、诚实信用原则，维护投资者合法权益，不得</w:t>
            </w: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损害国家利益和社会公共利益。</w:t>
            </w: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67"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333333"/>
                <w:sz w:val="24"/>
                <w:szCs w:val="24"/>
              </w:rPr>
              <w:t>6</w:t>
            </w:r>
            <w:r>
              <w:rPr>
                <w:rFonts w:ascii="宋体" w:hAnsi="宋体" w:eastAsia="宋体" w:cs="宋体"/>
                <w:b/>
                <w:bCs/>
                <w:color w:val="333333"/>
                <w:sz w:val="24"/>
                <w:szCs w:val="24"/>
              </w:rPr>
              <w:t>、《期货交易管理条例》</w:t>
            </w: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36"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91" w:lineRule="exact"/>
              <w:ind w:left="580"/>
              <w:rPr>
                <w:color w:val="auto"/>
                <w:sz w:val="20"/>
                <w:szCs w:val="20"/>
              </w:rPr>
            </w:pPr>
            <w:r>
              <w:rPr>
                <w:rFonts w:ascii="宋体" w:hAnsi="宋体" w:eastAsia="宋体" w:cs="宋体"/>
                <w:color w:val="333333"/>
                <w:w w:val="98"/>
                <w:sz w:val="24"/>
                <w:szCs w:val="24"/>
              </w:rPr>
              <w:t>第十六条 申请设立期货公司，应当符合《中华人民共和国公司法》的规定，并具备下列条件：</w:t>
            </w:r>
            <w:r>
              <w:rPr>
                <w:rFonts w:ascii="Arial" w:hAnsi="Arial" w:eastAsia="Arial" w:cs="Arial"/>
                <w:color w:val="333333"/>
                <w:w w:val="98"/>
                <w:sz w:val="24"/>
                <w:szCs w:val="24"/>
              </w:rPr>
              <w:t>…</w:t>
            </w: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64"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92" w:lineRule="exact"/>
              <w:ind w:left="100"/>
              <w:rPr>
                <w:color w:val="auto"/>
                <w:sz w:val="20"/>
                <w:szCs w:val="20"/>
              </w:rPr>
            </w:pPr>
            <w:r>
              <w:rPr>
                <w:rFonts w:ascii="宋体" w:hAnsi="宋体" w:eastAsia="宋体" w:cs="宋体"/>
                <w:color w:val="333333"/>
                <w:sz w:val="24"/>
                <w:szCs w:val="24"/>
              </w:rPr>
              <w:t>（四）主要股东以及实际控制人具有持续盈利能力，信誉良好，最近</w:t>
            </w:r>
            <w:r>
              <w:rPr>
                <w:rFonts w:ascii="Times New Roman" w:hAnsi="Times New Roman" w:eastAsia="Times New Roman" w:cs="Times New Roman"/>
                <w:color w:val="333333"/>
                <w:sz w:val="24"/>
                <w:szCs w:val="24"/>
              </w:rPr>
              <w:t xml:space="preserve"> 3 </w:t>
            </w:r>
            <w:r>
              <w:rPr>
                <w:rFonts w:ascii="宋体" w:hAnsi="宋体" w:eastAsia="宋体" w:cs="宋体"/>
                <w:color w:val="333333"/>
                <w:sz w:val="24"/>
                <w:szCs w:val="24"/>
              </w:rPr>
              <w:t>年无重大违法违规记录；</w:t>
            </w:r>
            <w:r>
              <w:rPr>
                <w:rFonts w:ascii="Arial" w:hAnsi="Arial" w:eastAsia="Arial" w:cs="Arial"/>
                <w:color w:val="333333"/>
                <w:sz w:val="24"/>
                <w:szCs w:val="24"/>
              </w:rPr>
              <w:t>…</w:t>
            </w: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36"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91" w:lineRule="exact"/>
              <w:ind w:left="100"/>
              <w:rPr>
                <w:color w:val="auto"/>
                <w:sz w:val="20"/>
                <w:szCs w:val="20"/>
              </w:rPr>
            </w:pPr>
            <w:r>
              <w:rPr>
                <w:rFonts w:ascii="宋体" w:hAnsi="宋体" w:eastAsia="宋体" w:cs="宋体"/>
                <w:color w:val="333333"/>
                <w:sz w:val="24"/>
                <w:szCs w:val="24"/>
              </w:rPr>
              <w:t>（六）有健全的风险管理和内部控制制度；</w:t>
            </w:r>
            <w:r>
              <w:rPr>
                <w:rFonts w:ascii="Arial" w:hAnsi="Arial" w:eastAsia="Arial" w:cs="Arial"/>
                <w:color w:val="333333"/>
                <w:sz w:val="24"/>
                <w:szCs w:val="24"/>
              </w:rPr>
              <w:t>…</w:t>
            </w: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64"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333333"/>
                <w:sz w:val="24"/>
                <w:szCs w:val="24"/>
              </w:rPr>
              <w:t>7</w:t>
            </w:r>
            <w:r>
              <w:rPr>
                <w:rFonts w:ascii="宋体" w:hAnsi="宋体" w:eastAsia="宋体" w:cs="宋体"/>
                <w:b/>
                <w:bCs/>
                <w:color w:val="333333"/>
                <w:sz w:val="24"/>
                <w:szCs w:val="24"/>
              </w:rPr>
              <w:t>、《期货公司监督管理办法》</w:t>
            </w: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92" w:lineRule="exact"/>
              <w:ind w:left="580"/>
              <w:rPr>
                <w:color w:val="auto"/>
                <w:sz w:val="20"/>
                <w:szCs w:val="20"/>
              </w:rPr>
            </w:pPr>
            <w:r>
              <w:rPr>
                <w:rFonts w:ascii="宋体" w:hAnsi="宋体" w:eastAsia="宋体" w:cs="宋体"/>
                <w:color w:val="333333"/>
                <w:sz w:val="24"/>
                <w:szCs w:val="24"/>
              </w:rPr>
              <w:t>第八条 持有期货公司</w:t>
            </w:r>
            <w:r>
              <w:rPr>
                <w:rFonts w:ascii="Times New Roman" w:hAnsi="Times New Roman" w:eastAsia="Times New Roman" w:cs="Times New Roman"/>
                <w:color w:val="333333"/>
                <w:sz w:val="24"/>
                <w:szCs w:val="24"/>
              </w:rPr>
              <w:t xml:space="preserve"> 5%</w:t>
            </w:r>
            <w:r>
              <w:rPr>
                <w:rFonts w:ascii="宋体" w:hAnsi="宋体" w:eastAsia="宋体" w:cs="宋体"/>
                <w:color w:val="333333"/>
                <w:sz w:val="24"/>
                <w:szCs w:val="24"/>
              </w:rPr>
              <w:t>以上股权的个人股东应当符合本办法第七条第（三）项至第（七）项</w:t>
            </w: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92" w:lineRule="exact"/>
              <w:ind w:left="100"/>
              <w:rPr>
                <w:color w:val="auto"/>
                <w:sz w:val="20"/>
                <w:szCs w:val="20"/>
              </w:rPr>
            </w:pPr>
            <w:r>
              <w:rPr>
                <w:rFonts w:ascii="宋体" w:hAnsi="宋体" w:eastAsia="宋体" w:cs="宋体"/>
                <w:color w:val="333333"/>
                <w:sz w:val="24"/>
                <w:szCs w:val="24"/>
              </w:rPr>
              <w:t>规定的条件，且其个人金融资产不低于人民币</w:t>
            </w:r>
            <w:r>
              <w:rPr>
                <w:rFonts w:ascii="Times New Roman" w:hAnsi="Times New Roman" w:eastAsia="Times New Roman" w:cs="Times New Roman"/>
                <w:color w:val="333333"/>
                <w:sz w:val="24"/>
                <w:szCs w:val="24"/>
              </w:rPr>
              <w:t xml:space="preserve"> 3000  </w:t>
            </w:r>
            <w:r>
              <w:rPr>
                <w:rFonts w:ascii="宋体" w:hAnsi="宋体" w:eastAsia="宋体" w:cs="宋体"/>
                <w:color w:val="333333"/>
                <w:sz w:val="24"/>
                <w:szCs w:val="24"/>
              </w:rPr>
              <w:t>万元。</w:t>
            </w: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76" w:hRule="atLeast"/>
        </w:trPr>
        <w:tc>
          <w:tcPr>
            <w:tcW w:w="1800" w:type="dxa"/>
            <w:tcBorders>
              <w:left w:val="single" w:color="auto" w:sz="8" w:space="0"/>
              <w:bottom w:val="single" w:color="auto" w:sz="8" w:space="0"/>
              <w:right w:val="single" w:color="auto" w:sz="8" w:space="0"/>
            </w:tcBorders>
            <w:vAlign w:val="bottom"/>
          </w:tcPr>
          <w:p>
            <w:pPr>
              <w:spacing w:after="0"/>
              <w:rPr>
                <w:color w:val="auto"/>
                <w:sz w:val="24"/>
                <w:szCs w:val="24"/>
              </w:rPr>
            </w:pPr>
          </w:p>
        </w:tc>
        <w:tc>
          <w:tcPr>
            <w:tcW w:w="10620" w:type="dxa"/>
            <w:tcBorders>
              <w:bottom w:val="single" w:color="auto" w:sz="8" w:space="0"/>
              <w:right w:val="single" w:color="auto" w:sz="8" w:space="0"/>
            </w:tcBorders>
            <w:vAlign w:val="bottom"/>
          </w:tcPr>
          <w:p>
            <w:pPr>
              <w:spacing w:after="0"/>
              <w:rPr>
                <w:color w:val="auto"/>
                <w:sz w:val="24"/>
                <w:szCs w:val="24"/>
              </w:rPr>
            </w:pPr>
          </w:p>
        </w:tc>
        <w:tc>
          <w:tcPr>
            <w:tcW w:w="1420" w:type="dxa"/>
            <w:tcBorders>
              <w:bottom w:val="single" w:color="auto" w:sz="8" w:space="0"/>
              <w:right w:val="single" w:color="auto" w:sz="8" w:space="0"/>
            </w:tcBorders>
            <w:vAlign w:val="bottom"/>
          </w:tcPr>
          <w:p>
            <w:pPr>
              <w:spacing w:after="0"/>
              <w:rPr>
                <w:color w:val="auto"/>
                <w:sz w:val="24"/>
                <w:szCs w:val="24"/>
              </w:rPr>
            </w:pPr>
          </w:p>
        </w:tc>
      </w:tr>
    </w:tbl>
    <w:p>
      <w:pPr>
        <w:spacing w:after="0" w:line="67" w:lineRule="exact"/>
        <w:rPr>
          <w:color w:val="auto"/>
          <w:sz w:val="20"/>
          <w:szCs w:val="20"/>
        </w:rPr>
      </w:pPr>
    </w:p>
    <w:p>
      <w:pPr>
        <w:sectPr>
          <w:pgSz w:w="16840" w:h="11906" w:orient="landscape"/>
          <w:pgMar w:top="1440" w:right="1440" w:bottom="808" w:left="1440" w:header="0" w:footer="0" w:gutter="0"/>
          <w:cols w:equalWidth="0" w:num="1">
            <w:col w:w="13958"/>
          </w:cols>
        </w:sectPr>
      </w:pPr>
    </w:p>
    <w:p>
      <w:pPr>
        <w:spacing w:after="0"/>
        <w:ind w:right="-1"/>
        <w:jc w:val="center"/>
        <w:rPr>
          <w:color w:val="auto"/>
          <w:sz w:val="20"/>
          <w:szCs w:val="20"/>
        </w:rPr>
      </w:pPr>
      <w:r>
        <w:rPr>
          <w:rFonts w:ascii="Times New Roman" w:hAnsi="Times New Roman" w:eastAsia="Times New Roman" w:cs="Times New Roman"/>
          <w:color w:val="auto"/>
          <w:sz w:val="24"/>
          <w:szCs w:val="24"/>
        </w:rPr>
        <w:t>14</w:t>
      </w:r>
    </w:p>
    <w:p>
      <w:pPr>
        <w:sectPr>
          <w:type w:val="continuous"/>
          <w:pgSz w:w="16840" w:h="11906" w:orient="landscape"/>
          <w:pgMar w:top="1440" w:right="1440" w:bottom="808" w:left="1440" w:header="0" w:footer="0" w:gutter="0"/>
          <w:cols w:equalWidth="0" w:num="1">
            <w:col w:w="13958"/>
          </w:cols>
        </w:sectPr>
      </w:pPr>
    </w:p>
    <w:p>
      <w:pPr>
        <w:spacing w:after="0" w:line="298" w:lineRule="exact"/>
        <w:rPr>
          <w:color w:val="auto"/>
          <w:sz w:val="20"/>
          <w:szCs w:val="20"/>
        </w:rPr>
      </w:pPr>
      <w:bookmarkStart w:id="13" w:name="page21"/>
      <w:bookmarkEnd w:id="13"/>
    </w:p>
    <w:tbl>
      <w:tblPr>
        <w:tblStyle w:val="2"/>
        <w:tblW w:w="0" w:type="auto"/>
        <w:tblInd w:w="70" w:type="dxa"/>
        <w:tblLayout w:type="fixed"/>
        <w:tblCellMar>
          <w:top w:w="0" w:type="dxa"/>
          <w:left w:w="0" w:type="dxa"/>
          <w:bottom w:w="0" w:type="dxa"/>
          <w:right w:w="0" w:type="dxa"/>
        </w:tblCellMar>
      </w:tblPr>
      <w:tblGrid>
        <w:gridCol w:w="1800"/>
        <w:gridCol w:w="10620"/>
        <w:gridCol w:w="1420"/>
        <w:gridCol w:w="360"/>
      </w:tblGrid>
      <w:tr>
        <w:tblPrEx>
          <w:tblCellMar>
            <w:top w:w="0" w:type="dxa"/>
            <w:left w:w="0" w:type="dxa"/>
            <w:bottom w:w="0" w:type="dxa"/>
            <w:right w:w="0" w:type="dxa"/>
          </w:tblCellMar>
        </w:tblPrEx>
        <w:trPr>
          <w:trHeight w:val="333" w:hRule="atLeast"/>
        </w:trPr>
        <w:tc>
          <w:tcPr>
            <w:tcW w:w="1800" w:type="dxa"/>
            <w:tcBorders>
              <w:top w:val="single" w:color="auto" w:sz="8" w:space="0"/>
              <w:left w:val="single" w:color="auto" w:sz="8" w:space="0"/>
              <w:right w:val="single" w:color="auto" w:sz="8" w:space="0"/>
            </w:tcBorders>
            <w:vAlign w:val="bottom"/>
          </w:tcPr>
          <w:p>
            <w:pPr>
              <w:spacing w:after="0"/>
              <w:rPr>
                <w:color w:val="auto"/>
                <w:sz w:val="24"/>
                <w:szCs w:val="24"/>
              </w:rPr>
            </w:pPr>
          </w:p>
        </w:tc>
        <w:tc>
          <w:tcPr>
            <w:tcW w:w="10620" w:type="dxa"/>
            <w:tcBorders>
              <w:top w:val="single" w:color="auto" w:sz="8" w:space="0"/>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333333"/>
                <w:w w:val="98"/>
                <w:sz w:val="24"/>
                <w:szCs w:val="24"/>
              </w:rPr>
              <w:t>1</w:t>
            </w:r>
            <w:r>
              <w:rPr>
                <w:rFonts w:ascii="宋体" w:hAnsi="宋体" w:eastAsia="宋体" w:cs="宋体"/>
                <w:b/>
                <w:bCs/>
                <w:color w:val="333333"/>
                <w:w w:val="98"/>
                <w:sz w:val="24"/>
                <w:szCs w:val="24"/>
              </w:rPr>
              <w:t>、</w:t>
            </w:r>
            <w:r>
              <w:rPr>
                <w:rFonts w:ascii="宋体" w:hAnsi="宋体" w:eastAsia="宋体" w:cs="宋体"/>
                <w:color w:val="333333"/>
                <w:w w:val="98"/>
                <w:sz w:val="24"/>
                <w:szCs w:val="24"/>
              </w:rPr>
              <w:t>《</w:t>
            </w:r>
            <w:r>
              <w:rPr>
                <w:rFonts w:ascii="宋体" w:hAnsi="宋体" w:eastAsia="宋体" w:cs="宋体"/>
                <w:b/>
                <w:bCs/>
                <w:color w:val="333333"/>
                <w:w w:val="98"/>
                <w:sz w:val="24"/>
                <w:szCs w:val="24"/>
              </w:rPr>
              <w:t>国务院关于建立完善守信联合激励和失信联合惩戒制度加快推进社会诚信建设的指导意见</w:t>
            </w:r>
            <w:r>
              <w:rPr>
                <w:rFonts w:ascii="宋体" w:hAnsi="宋体" w:eastAsia="宋体" w:cs="宋体"/>
                <w:color w:val="333333"/>
                <w:w w:val="98"/>
                <w:sz w:val="24"/>
                <w:szCs w:val="24"/>
              </w:rPr>
              <w:t>》</w:t>
            </w:r>
          </w:p>
        </w:tc>
        <w:tc>
          <w:tcPr>
            <w:tcW w:w="1420" w:type="dxa"/>
            <w:tcBorders>
              <w:top w:val="single" w:color="auto" w:sz="8" w:space="0"/>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36"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91" w:lineRule="exact"/>
              <w:ind w:left="580"/>
              <w:rPr>
                <w:color w:val="auto"/>
                <w:sz w:val="20"/>
                <w:szCs w:val="20"/>
              </w:rPr>
            </w:pPr>
            <w:r>
              <w:rPr>
                <w:rFonts w:ascii="宋体" w:hAnsi="宋体" w:eastAsia="宋体" w:cs="宋体"/>
                <w:color w:val="333333"/>
                <w:sz w:val="24"/>
                <w:szCs w:val="24"/>
              </w:rPr>
              <w:t>（十一）加强对失信行为的市场性约束和惩戒。</w:t>
            </w:r>
            <w:r>
              <w:rPr>
                <w:rFonts w:ascii="Arial" w:hAnsi="Arial" w:eastAsia="Arial" w:cs="Arial"/>
                <w:color w:val="333333"/>
                <w:sz w:val="24"/>
                <w:szCs w:val="24"/>
              </w:rPr>
              <w:t>…</w:t>
            </w:r>
            <w:r>
              <w:rPr>
                <w:rFonts w:ascii="宋体" w:hAnsi="宋体" w:eastAsia="宋体" w:cs="宋体"/>
                <w:color w:val="333333"/>
                <w:sz w:val="24"/>
                <w:szCs w:val="24"/>
              </w:rPr>
              <w:t>引导商业银行、证券期货经营机构、保险公</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司等金融机构按照风险定价原则，对严重失信主体提高贷款利率和财产保险费率，或者限制向其提</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0" w:hRule="atLeast"/>
        </w:trPr>
        <w:tc>
          <w:tcPr>
            <w:tcW w:w="1800" w:type="dxa"/>
            <w:vMerge w:val="restart"/>
            <w:tcBorders>
              <w:left w:val="single" w:color="auto" w:sz="8" w:space="0"/>
              <w:right w:val="single" w:color="auto" w:sz="8" w:space="0"/>
            </w:tcBorders>
            <w:vAlign w:val="bottom"/>
          </w:tcPr>
          <w:p>
            <w:pPr>
              <w:spacing w:after="0" w:line="292" w:lineRule="exact"/>
              <w:ind w:left="120"/>
              <w:rPr>
                <w:color w:val="auto"/>
                <w:sz w:val="20"/>
                <w:szCs w:val="20"/>
              </w:rPr>
            </w:pPr>
            <w:r>
              <w:rPr>
                <w:rFonts w:ascii="Times New Roman" w:hAnsi="Times New Roman" w:eastAsia="Times New Roman" w:cs="Times New Roman"/>
                <w:color w:val="333333"/>
                <w:w w:val="97"/>
                <w:sz w:val="24"/>
                <w:szCs w:val="24"/>
              </w:rPr>
              <w:t>19</w:t>
            </w:r>
            <w:r>
              <w:rPr>
                <w:rFonts w:ascii="宋体" w:hAnsi="宋体" w:eastAsia="宋体" w:cs="宋体"/>
                <w:color w:val="333333"/>
                <w:w w:val="97"/>
                <w:sz w:val="24"/>
                <w:szCs w:val="24"/>
              </w:rPr>
              <w:t>、将失信状况</w:t>
            </w:r>
          </w:p>
        </w:tc>
        <w:tc>
          <w:tcPr>
            <w:tcW w:w="1062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供贷款、保荐、承销、保险等服务。</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89" w:hRule="atLeast"/>
        </w:trPr>
        <w:tc>
          <w:tcPr>
            <w:tcW w:w="1800" w:type="dxa"/>
            <w:vMerge w:val="continue"/>
            <w:tcBorders>
              <w:left w:val="single" w:color="auto" w:sz="8" w:space="0"/>
              <w:right w:val="single" w:color="auto" w:sz="8" w:space="0"/>
            </w:tcBorders>
            <w:vAlign w:val="bottom"/>
          </w:tcPr>
          <w:p>
            <w:pPr>
              <w:spacing w:after="0"/>
              <w:rPr>
                <w:color w:val="auto"/>
                <w:sz w:val="16"/>
                <w:szCs w:val="16"/>
              </w:rPr>
            </w:pPr>
          </w:p>
        </w:tc>
        <w:tc>
          <w:tcPr>
            <w:tcW w:w="10620" w:type="dxa"/>
            <w:vMerge w:val="restart"/>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333333"/>
                <w:sz w:val="24"/>
                <w:szCs w:val="24"/>
              </w:rPr>
              <w:t>2</w:t>
            </w:r>
            <w:r>
              <w:rPr>
                <w:rFonts w:ascii="宋体" w:hAnsi="宋体" w:eastAsia="宋体" w:cs="宋体"/>
                <w:b/>
                <w:bCs/>
                <w:color w:val="333333"/>
                <w:sz w:val="24"/>
                <w:szCs w:val="24"/>
              </w:rPr>
              <w:t>、《中国保监会关于深化商业车险条款费率管理制度改革的意见》</w:t>
            </w:r>
          </w:p>
        </w:tc>
        <w:tc>
          <w:tcPr>
            <w:tcW w:w="1420" w:type="dxa"/>
            <w:tcBorders>
              <w:right w:val="single" w:color="auto" w:sz="8" w:space="0"/>
            </w:tcBorders>
            <w:vAlign w:val="bottom"/>
          </w:tcPr>
          <w:p>
            <w:pPr>
              <w:spacing w:after="0"/>
              <w:rPr>
                <w:color w:val="auto"/>
                <w:sz w:val="16"/>
                <w:szCs w:val="16"/>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5" w:hRule="atLeast"/>
        </w:trPr>
        <w:tc>
          <w:tcPr>
            <w:tcW w:w="1800" w:type="dxa"/>
            <w:vMerge w:val="restart"/>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作为保险公司</w:t>
            </w:r>
          </w:p>
        </w:tc>
        <w:tc>
          <w:tcPr>
            <w:tcW w:w="10620" w:type="dxa"/>
            <w:vMerge w:val="continue"/>
            <w:tcBorders>
              <w:right w:val="single" w:color="auto" w:sz="8" w:space="0"/>
            </w:tcBorders>
            <w:vAlign w:val="bottom"/>
          </w:tcPr>
          <w:p>
            <w:pPr>
              <w:spacing w:after="0"/>
              <w:rPr>
                <w:color w:val="auto"/>
                <w:sz w:val="15"/>
                <w:szCs w:val="15"/>
              </w:rPr>
            </w:pPr>
          </w:p>
        </w:tc>
        <w:tc>
          <w:tcPr>
            <w:tcW w:w="1420" w:type="dxa"/>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61" w:hRule="atLeast"/>
        </w:trPr>
        <w:tc>
          <w:tcPr>
            <w:tcW w:w="1800" w:type="dxa"/>
            <w:vMerge w:val="continue"/>
            <w:tcBorders>
              <w:left w:val="single" w:color="auto" w:sz="8" w:space="0"/>
              <w:right w:val="single" w:color="auto" w:sz="8" w:space="0"/>
            </w:tcBorders>
            <w:vAlign w:val="bottom"/>
          </w:tcPr>
          <w:p>
            <w:pPr>
              <w:spacing w:after="0"/>
              <w:rPr>
                <w:color w:val="auto"/>
                <w:sz w:val="14"/>
                <w:szCs w:val="14"/>
              </w:rPr>
            </w:pPr>
          </w:p>
        </w:tc>
        <w:tc>
          <w:tcPr>
            <w:tcW w:w="10620" w:type="dxa"/>
            <w:vMerge w:val="restart"/>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333333"/>
                <w:sz w:val="24"/>
                <w:szCs w:val="24"/>
              </w:rPr>
              <w:t>三、建立健全商业车险费率形成机制</w:t>
            </w:r>
          </w:p>
        </w:tc>
        <w:tc>
          <w:tcPr>
            <w:tcW w:w="1420" w:type="dxa"/>
            <w:vMerge w:val="restart"/>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保监会</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8" w:hRule="atLeast"/>
        </w:trPr>
        <w:tc>
          <w:tcPr>
            <w:tcW w:w="1800" w:type="dxa"/>
            <w:vMerge w:val="restart"/>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核定保险费率</w:t>
            </w:r>
          </w:p>
        </w:tc>
        <w:tc>
          <w:tcPr>
            <w:tcW w:w="10620" w:type="dxa"/>
            <w:vMerge w:val="continue"/>
            <w:tcBorders>
              <w:right w:val="single" w:color="auto" w:sz="8" w:space="0"/>
            </w:tcBorders>
            <w:vAlign w:val="bottom"/>
          </w:tcPr>
          <w:p>
            <w:pPr>
              <w:spacing w:after="0"/>
              <w:rPr>
                <w:color w:val="auto"/>
                <w:sz w:val="15"/>
                <w:szCs w:val="15"/>
              </w:rPr>
            </w:pPr>
          </w:p>
        </w:tc>
        <w:tc>
          <w:tcPr>
            <w:tcW w:w="1420" w:type="dxa"/>
            <w:vMerge w:val="continue"/>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3" w:hRule="atLeast"/>
        </w:trPr>
        <w:tc>
          <w:tcPr>
            <w:tcW w:w="1800" w:type="dxa"/>
            <w:vMerge w:val="continue"/>
            <w:tcBorders>
              <w:left w:val="single" w:color="auto" w:sz="8" w:space="0"/>
              <w:right w:val="single" w:color="auto" w:sz="8" w:space="0"/>
            </w:tcBorders>
            <w:vAlign w:val="bottom"/>
          </w:tcPr>
          <w:p>
            <w:pPr>
              <w:spacing w:after="0"/>
              <w:rPr>
                <w:color w:val="auto"/>
                <w:sz w:val="15"/>
                <w:szCs w:val="15"/>
              </w:rPr>
            </w:pPr>
          </w:p>
        </w:tc>
        <w:tc>
          <w:tcPr>
            <w:tcW w:w="10620" w:type="dxa"/>
            <w:vMerge w:val="restart"/>
            <w:tcBorders>
              <w:right w:val="single" w:color="auto" w:sz="8" w:space="0"/>
            </w:tcBorders>
            <w:vAlign w:val="bottom"/>
          </w:tcPr>
          <w:p>
            <w:pPr>
              <w:spacing w:after="0" w:line="291" w:lineRule="exact"/>
              <w:ind w:left="580"/>
              <w:rPr>
                <w:color w:val="auto"/>
                <w:sz w:val="20"/>
                <w:szCs w:val="20"/>
              </w:rPr>
            </w:pPr>
            <w:r>
              <w:rPr>
                <w:rFonts w:ascii="Arial" w:hAnsi="Arial" w:eastAsia="Arial" w:cs="Arial"/>
                <w:color w:val="333333"/>
                <w:sz w:val="24"/>
                <w:szCs w:val="24"/>
              </w:rPr>
              <w:t>…</w:t>
            </w:r>
            <w:r>
              <w:rPr>
                <w:rFonts w:ascii="宋体" w:hAnsi="宋体" w:eastAsia="宋体" w:cs="宋体"/>
                <w:color w:val="333333"/>
                <w:sz w:val="24"/>
                <w:szCs w:val="24"/>
              </w:rPr>
              <w:t>（二）逐步扩大财产保险公司费率厘定自主权。赋予财产保险公司一定的商业车险费率厘定</w:t>
            </w:r>
          </w:p>
        </w:tc>
        <w:tc>
          <w:tcPr>
            <w:tcW w:w="1420" w:type="dxa"/>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5" w:hRule="atLeast"/>
        </w:trPr>
        <w:tc>
          <w:tcPr>
            <w:tcW w:w="1800" w:type="dxa"/>
            <w:vMerge w:val="restart"/>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的重要参考。</w:t>
            </w:r>
          </w:p>
        </w:tc>
        <w:tc>
          <w:tcPr>
            <w:tcW w:w="10620" w:type="dxa"/>
            <w:vMerge w:val="continue"/>
            <w:tcBorders>
              <w:right w:val="single" w:color="auto" w:sz="8" w:space="0"/>
            </w:tcBorders>
            <w:vAlign w:val="bottom"/>
          </w:tcPr>
          <w:p>
            <w:pPr>
              <w:spacing w:after="0"/>
              <w:rPr>
                <w:color w:val="auto"/>
                <w:sz w:val="15"/>
                <w:szCs w:val="15"/>
              </w:rPr>
            </w:pPr>
          </w:p>
        </w:tc>
        <w:tc>
          <w:tcPr>
            <w:tcW w:w="1420" w:type="dxa"/>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5" w:hRule="atLeast"/>
        </w:trPr>
        <w:tc>
          <w:tcPr>
            <w:tcW w:w="1800" w:type="dxa"/>
            <w:vMerge w:val="continue"/>
            <w:tcBorders>
              <w:left w:val="single" w:color="auto" w:sz="8" w:space="0"/>
              <w:right w:val="single" w:color="auto" w:sz="8" w:space="0"/>
            </w:tcBorders>
            <w:vAlign w:val="bottom"/>
          </w:tcPr>
          <w:p>
            <w:pPr>
              <w:spacing w:after="0"/>
              <w:rPr>
                <w:color w:val="auto"/>
                <w:sz w:val="15"/>
                <w:szCs w:val="15"/>
              </w:rPr>
            </w:pPr>
          </w:p>
        </w:tc>
        <w:tc>
          <w:tcPr>
            <w:tcW w:w="10620" w:type="dxa"/>
            <w:vMerge w:val="restart"/>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自主权，由市场主体根据自身实际情况科学测算基准附加保费，合理确定自主费率调整系数及其调</w:t>
            </w:r>
          </w:p>
        </w:tc>
        <w:tc>
          <w:tcPr>
            <w:tcW w:w="1420" w:type="dxa"/>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8" w:hRule="atLeast"/>
        </w:trPr>
        <w:tc>
          <w:tcPr>
            <w:tcW w:w="1800" w:type="dxa"/>
            <w:tcBorders>
              <w:left w:val="single" w:color="auto" w:sz="8" w:space="0"/>
              <w:right w:val="single" w:color="auto" w:sz="8" w:space="0"/>
            </w:tcBorders>
            <w:vAlign w:val="bottom"/>
          </w:tcPr>
          <w:p>
            <w:pPr>
              <w:spacing w:after="0"/>
              <w:rPr>
                <w:color w:val="auto"/>
                <w:sz w:val="15"/>
                <w:szCs w:val="15"/>
              </w:rPr>
            </w:pPr>
          </w:p>
        </w:tc>
        <w:tc>
          <w:tcPr>
            <w:tcW w:w="10620" w:type="dxa"/>
            <w:vMerge w:val="continue"/>
            <w:tcBorders>
              <w:right w:val="single" w:color="auto" w:sz="8" w:space="0"/>
            </w:tcBorders>
            <w:vAlign w:val="bottom"/>
          </w:tcPr>
          <w:p>
            <w:pPr>
              <w:spacing w:after="0"/>
              <w:rPr>
                <w:color w:val="auto"/>
                <w:sz w:val="15"/>
                <w:szCs w:val="15"/>
              </w:rPr>
            </w:pPr>
          </w:p>
        </w:tc>
        <w:tc>
          <w:tcPr>
            <w:tcW w:w="1420" w:type="dxa"/>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91" w:lineRule="exact"/>
              <w:ind w:left="100"/>
              <w:rPr>
                <w:color w:val="auto"/>
                <w:sz w:val="20"/>
                <w:szCs w:val="20"/>
              </w:rPr>
            </w:pPr>
            <w:r>
              <w:rPr>
                <w:rFonts w:ascii="宋体" w:hAnsi="宋体" w:eastAsia="宋体" w:cs="宋体"/>
                <w:color w:val="333333"/>
                <w:sz w:val="24"/>
                <w:szCs w:val="24"/>
              </w:rPr>
              <w:t>整标准。</w:t>
            </w:r>
            <w:r>
              <w:rPr>
                <w:rFonts w:ascii="Arial" w:hAnsi="Arial" w:eastAsia="Arial" w:cs="Arial"/>
                <w:color w:val="333333"/>
                <w:sz w:val="24"/>
                <w:szCs w:val="24"/>
              </w:rPr>
              <w:t>…</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333333"/>
                <w:w w:val="99"/>
                <w:sz w:val="24"/>
                <w:szCs w:val="24"/>
              </w:rPr>
              <w:t>根据保险市场发展情况和保险市场成熟程度，逐步扩大财产保险公司商业车险费率厘定自主权，</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最终形成高度市场化的商业车险费率形成机制。</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41" w:hRule="atLeast"/>
        </w:trPr>
        <w:tc>
          <w:tcPr>
            <w:tcW w:w="180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10620" w:type="dxa"/>
            <w:tcBorders>
              <w:bottom w:val="single" w:color="auto" w:sz="8" w:space="0"/>
              <w:right w:val="single" w:color="auto" w:sz="8" w:space="0"/>
            </w:tcBorders>
            <w:vAlign w:val="bottom"/>
          </w:tcPr>
          <w:p>
            <w:pPr>
              <w:spacing w:after="0"/>
              <w:rPr>
                <w:color w:val="auto"/>
                <w:sz w:val="3"/>
                <w:szCs w:val="3"/>
              </w:rPr>
            </w:pPr>
          </w:p>
        </w:tc>
        <w:tc>
          <w:tcPr>
            <w:tcW w:w="1420" w:type="dxa"/>
            <w:tcBorders>
              <w:bottom w:val="single" w:color="auto" w:sz="8" w:space="0"/>
              <w:right w:val="single" w:color="auto" w:sz="8" w:space="0"/>
            </w:tcBorders>
            <w:vAlign w:val="bottom"/>
          </w:tcPr>
          <w:p>
            <w:pPr>
              <w:spacing w:after="0"/>
              <w:rPr>
                <w:color w:val="auto"/>
                <w:sz w:val="3"/>
                <w:szCs w:val="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13"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333333"/>
                <w:sz w:val="24"/>
                <w:szCs w:val="24"/>
              </w:rPr>
              <w:t>1</w:t>
            </w:r>
            <w:r>
              <w:rPr>
                <w:rFonts w:ascii="宋体" w:hAnsi="宋体" w:eastAsia="宋体" w:cs="宋体"/>
                <w:b/>
                <w:bCs/>
                <w:color w:val="333333"/>
                <w:sz w:val="24"/>
                <w:szCs w:val="24"/>
              </w:rPr>
              <w:t>、《中华人民共和国公司法》</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36"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333333"/>
                <w:sz w:val="24"/>
                <w:szCs w:val="24"/>
              </w:rPr>
              <w:t>第一百四十六条  有下列情形之一的，不得担任公司的董事、监事、高级管理人员：（一）无</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民事行为能力或者限制民事行为能力；（二）因贪污、贿赂、侵占财产、挪用财产或者破坏社会主</w:t>
            </w:r>
          </w:p>
        </w:tc>
        <w:tc>
          <w:tcPr>
            <w:tcW w:w="1420" w:type="dxa"/>
            <w:vMerge w:val="restart"/>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国务院国资</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5" w:hRule="atLeast"/>
        </w:trPr>
        <w:tc>
          <w:tcPr>
            <w:tcW w:w="1800" w:type="dxa"/>
            <w:tcBorders>
              <w:left w:val="single" w:color="auto" w:sz="8" w:space="0"/>
              <w:right w:val="single" w:color="auto" w:sz="8" w:space="0"/>
            </w:tcBorders>
            <w:vAlign w:val="bottom"/>
          </w:tcPr>
          <w:p>
            <w:pPr>
              <w:spacing w:after="0"/>
              <w:rPr>
                <w:color w:val="auto"/>
                <w:sz w:val="15"/>
                <w:szCs w:val="15"/>
              </w:rPr>
            </w:pPr>
          </w:p>
        </w:tc>
        <w:tc>
          <w:tcPr>
            <w:tcW w:w="10620" w:type="dxa"/>
            <w:vMerge w:val="restart"/>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义市场经济秩序，被判处刑罚，执行期满未逾五年，或者因犯罪被剥夺政治权利，执行期满未逾五</w:t>
            </w:r>
          </w:p>
        </w:tc>
        <w:tc>
          <w:tcPr>
            <w:tcW w:w="1420" w:type="dxa"/>
            <w:vMerge w:val="continue"/>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5" w:hRule="atLeast"/>
        </w:trPr>
        <w:tc>
          <w:tcPr>
            <w:tcW w:w="1800" w:type="dxa"/>
            <w:tcBorders>
              <w:left w:val="single" w:color="auto" w:sz="8" w:space="0"/>
              <w:right w:val="single" w:color="auto" w:sz="8" w:space="0"/>
            </w:tcBorders>
            <w:vAlign w:val="bottom"/>
          </w:tcPr>
          <w:p>
            <w:pPr>
              <w:spacing w:after="0"/>
              <w:rPr>
                <w:color w:val="auto"/>
                <w:sz w:val="15"/>
                <w:szCs w:val="15"/>
              </w:rPr>
            </w:pPr>
          </w:p>
        </w:tc>
        <w:tc>
          <w:tcPr>
            <w:tcW w:w="10620" w:type="dxa"/>
            <w:vMerge w:val="continue"/>
            <w:tcBorders>
              <w:right w:val="single" w:color="auto" w:sz="8" w:space="0"/>
            </w:tcBorders>
            <w:vAlign w:val="bottom"/>
          </w:tcPr>
          <w:p>
            <w:pPr>
              <w:spacing w:after="0"/>
              <w:rPr>
                <w:color w:val="auto"/>
                <w:sz w:val="15"/>
                <w:szCs w:val="15"/>
              </w:rPr>
            </w:pPr>
          </w:p>
        </w:tc>
        <w:tc>
          <w:tcPr>
            <w:tcW w:w="1420" w:type="dxa"/>
            <w:vMerge w:val="restart"/>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w w:val="88"/>
                <w:sz w:val="24"/>
                <w:szCs w:val="24"/>
              </w:rPr>
              <w:t>委、财政部、</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5" w:hRule="atLeast"/>
        </w:trPr>
        <w:tc>
          <w:tcPr>
            <w:tcW w:w="1800" w:type="dxa"/>
            <w:vMerge w:val="restart"/>
            <w:tcBorders>
              <w:left w:val="single" w:color="auto" w:sz="8" w:space="0"/>
              <w:right w:val="single" w:color="auto" w:sz="8" w:space="0"/>
            </w:tcBorders>
            <w:vAlign w:val="bottom"/>
          </w:tcPr>
          <w:p>
            <w:pPr>
              <w:spacing w:after="0" w:line="292" w:lineRule="exact"/>
              <w:ind w:left="120"/>
              <w:rPr>
                <w:color w:val="auto"/>
                <w:sz w:val="20"/>
                <w:szCs w:val="20"/>
              </w:rPr>
            </w:pPr>
            <w:r>
              <w:rPr>
                <w:rFonts w:ascii="Times New Roman" w:hAnsi="Times New Roman" w:eastAsia="Times New Roman" w:cs="Times New Roman"/>
                <w:color w:val="333333"/>
                <w:w w:val="97"/>
                <w:sz w:val="24"/>
                <w:szCs w:val="24"/>
              </w:rPr>
              <w:t>20</w:t>
            </w:r>
            <w:r>
              <w:rPr>
                <w:rFonts w:ascii="宋体" w:hAnsi="宋体" w:eastAsia="宋体" w:cs="宋体"/>
                <w:color w:val="333333"/>
                <w:w w:val="97"/>
                <w:sz w:val="24"/>
                <w:szCs w:val="24"/>
              </w:rPr>
              <w:t>、对失信主体</w:t>
            </w:r>
          </w:p>
        </w:tc>
        <w:tc>
          <w:tcPr>
            <w:tcW w:w="10620" w:type="dxa"/>
            <w:vMerge w:val="restart"/>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年；（三）担任破产清算的公司、企业的董事或者厂长、经理，对该公司、企业的破产负有个人责</w:t>
            </w:r>
          </w:p>
        </w:tc>
        <w:tc>
          <w:tcPr>
            <w:tcW w:w="1420" w:type="dxa"/>
            <w:vMerge w:val="continue"/>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89" w:hRule="atLeast"/>
        </w:trPr>
        <w:tc>
          <w:tcPr>
            <w:tcW w:w="1800" w:type="dxa"/>
            <w:vMerge w:val="continue"/>
            <w:tcBorders>
              <w:left w:val="single" w:color="auto" w:sz="8" w:space="0"/>
              <w:right w:val="single" w:color="auto" w:sz="8" w:space="0"/>
            </w:tcBorders>
            <w:vAlign w:val="bottom"/>
          </w:tcPr>
          <w:p>
            <w:pPr>
              <w:spacing w:after="0"/>
              <w:rPr>
                <w:color w:val="auto"/>
                <w:sz w:val="16"/>
                <w:szCs w:val="16"/>
              </w:rPr>
            </w:pPr>
          </w:p>
        </w:tc>
        <w:tc>
          <w:tcPr>
            <w:tcW w:w="10620" w:type="dxa"/>
            <w:vMerge w:val="continue"/>
            <w:tcBorders>
              <w:right w:val="single" w:color="auto" w:sz="8" w:space="0"/>
            </w:tcBorders>
            <w:vAlign w:val="bottom"/>
          </w:tcPr>
          <w:p>
            <w:pPr>
              <w:spacing w:after="0"/>
              <w:rPr>
                <w:color w:val="auto"/>
                <w:sz w:val="16"/>
                <w:szCs w:val="16"/>
              </w:rPr>
            </w:pPr>
          </w:p>
        </w:tc>
        <w:tc>
          <w:tcPr>
            <w:tcW w:w="1420" w:type="dxa"/>
            <w:vMerge w:val="restart"/>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工商总局、</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61" w:hRule="atLeast"/>
        </w:trPr>
        <w:tc>
          <w:tcPr>
            <w:tcW w:w="1800" w:type="dxa"/>
            <w:vMerge w:val="restart"/>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担任国有企业</w:t>
            </w:r>
          </w:p>
        </w:tc>
        <w:tc>
          <w:tcPr>
            <w:tcW w:w="10620" w:type="dxa"/>
            <w:vMerge w:val="restart"/>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任的，自该公司、企业破产清算完结之日起未逾三年；（四）担任因违法被吊销营业执照、责令关</w:t>
            </w:r>
          </w:p>
        </w:tc>
        <w:tc>
          <w:tcPr>
            <w:tcW w:w="1420" w:type="dxa"/>
            <w:vMerge w:val="continue"/>
            <w:tcBorders>
              <w:right w:val="single" w:color="auto" w:sz="8" w:space="0"/>
            </w:tcBorders>
            <w:vAlign w:val="bottom"/>
          </w:tcPr>
          <w:p>
            <w:pPr>
              <w:spacing w:after="0"/>
              <w:rPr>
                <w:color w:val="auto"/>
                <w:sz w:val="14"/>
                <w:szCs w:val="1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5" w:hRule="atLeast"/>
        </w:trPr>
        <w:tc>
          <w:tcPr>
            <w:tcW w:w="1800" w:type="dxa"/>
            <w:vMerge w:val="continue"/>
            <w:tcBorders>
              <w:left w:val="single" w:color="auto" w:sz="8" w:space="0"/>
              <w:right w:val="single" w:color="auto" w:sz="8" w:space="0"/>
            </w:tcBorders>
            <w:vAlign w:val="bottom"/>
          </w:tcPr>
          <w:p>
            <w:pPr>
              <w:spacing w:after="0"/>
              <w:rPr>
                <w:color w:val="auto"/>
                <w:sz w:val="15"/>
                <w:szCs w:val="15"/>
              </w:rPr>
            </w:pPr>
          </w:p>
        </w:tc>
        <w:tc>
          <w:tcPr>
            <w:tcW w:w="10620" w:type="dxa"/>
            <w:vMerge w:val="continue"/>
            <w:tcBorders>
              <w:right w:val="single" w:color="auto" w:sz="8" w:space="0"/>
            </w:tcBorders>
            <w:vAlign w:val="bottom"/>
          </w:tcPr>
          <w:p>
            <w:pPr>
              <w:spacing w:after="0"/>
              <w:rPr>
                <w:color w:val="auto"/>
                <w:sz w:val="15"/>
                <w:szCs w:val="15"/>
              </w:rPr>
            </w:pPr>
          </w:p>
        </w:tc>
        <w:tc>
          <w:tcPr>
            <w:tcW w:w="1420" w:type="dxa"/>
            <w:vMerge w:val="restart"/>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银监会、证</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5" w:hRule="atLeast"/>
        </w:trPr>
        <w:tc>
          <w:tcPr>
            <w:tcW w:w="1800" w:type="dxa"/>
            <w:vMerge w:val="restart"/>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w w:val="97"/>
                <w:sz w:val="24"/>
                <w:szCs w:val="24"/>
              </w:rPr>
              <w:t>法定代表人、董</w:t>
            </w:r>
          </w:p>
        </w:tc>
        <w:tc>
          <w:tcPr>
            <w:tcW w:w="10620" w:type="dxa"/>
            <w:vMerge w:val="restart"/>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闭的公司、企业的法定代表人，并负有个人责任的，自该公司、企业被吊销营业执照之日起未逾三</w:t>
            </w:r>
          </w:p>
        </w:tc>
        <w:tc>
          <w:tcPr>
            <w:tcW w:w="1420" w:type="dxa"/>
            <w:vMerge w:val="continue"/>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5" w:hRule="atLeast"/>
        </w:trPr>
        <w:tc>
          <w:tcPr>
            <w:tcW w:w="1800" w:type="dxa"/>
            <w:vMerge w:val="continue"/>
            <w:tcBorders>
              <w:left w:val="single" w:color="auto" w:sz="8" w:space="0"/>
              <w:right w:val="single" w:color="auto" w:sz="8" w:space="0"/>
            </w:tcBorders>
            <w:vAlign w:val="bottom"/>
          </w:tcPr>
          <w:p>
            <w:pPr>
              <w:spacing w:after="0"/>
              <w:rPr>
                <w:color w:val="auto"/>
                <w:sz w:val="15"/>
                <w:szCs w:val="15"/>
              </w:rPr>
            </w:pPr>
          </w:p>
        </w:tc>
        <w:tc>
          <w:tcPr>
            <w:tcW w:w="10620" w:type="dxa"/>
            <w:vMerge w:val="continue"/>
            <w:tcBorders>
              <w:right w:val="single" w:color="auto" w:sz="8" w:space="0"/>
            </w:tcBorders>
            <w:vAlign w:val="bottom"/>
          </w:tcPr>
          <w:p>
            <w:pPr>
              <w:spacing w:after="0"/>
              <w:rPr>
                <w:color w:val="auto"/>
                <w:sz w:val="15"/>
                <w:szCs w:val="15"/>
              </w:rPr>
            </w:pPr>
          </w:p>
        </w:tc>
        <w:tc>
          <w:tcPr>
            <w:tcW w:w="1420" w:type="dxa"/>
            <w:vMerge w:val="restart"/>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监会、保监</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5" w:hRule="atLeast"/>
        </w:trPr>
        <w:tc>
          <w:tcPr>
            <w:tcW w:w="1800" w:type="dxa"/>
            <w:vMerge w:val="restart"/>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w w:val="97"/>
                <w:sz w:val="24"/>
                <w:szCs w:val="24"/>
              </w:rPr>
              <w:t>事、监事依法予</w:t>
            </w:r>
          </w:p>
        </w:tc>
        <w:tc>
          <w:tcPr>
            <w:tcW w:w="10620" w:type="dxa"/>
            <w:vMerge w:val="restart"/>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年；（五）个人所负数额较大的债务到期未清偿。</w:t>
            </w:r>
          </w:p>
        </w:tc>
        <w:tc>
          <w:tcPr>
            <w:tcW w:w="1420" w:type="dxa"/>
            <w:vMerge w:val="continue"/>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8" w:hRule="atLeast"/>
        </w:trPr>
        <w:tc>
          <w:tcPr>
            <w:tcW w:w="1800" w:type="dxa"/>
            <w:vMerge w:val="continue"/>
            <w:tcBorders>
              <w:left w:val="single" w:color="auto" w:sz="8" w:space="0"/>
              <w:right w:val="single" w:color="auto" w:sz="8" w:space="0"/>
            </w:tcBorders>
            <w:vAlign w:val="bottom"/>
          </w:tcPr>
          <w:p>
            <w:pPr>
              <w:spacing w:after="0"/>
              <w:rPr>
                <w:color w:val="auto"/>
                <w:sz w:val="15"/>
                <w:szCs w:val="15"/>
              </w:rPr>
            </w:pPr>
          </w:p>
        </w:tc>
        <w:tc>
          <w:tcPr>
            <w:tcW w:w="10620" w:type="dxa"/>
            <w:vMerge w:val="continue"/>
            <w:tcBorders>
              <w:right w:val="single" w:color="auto" w:sz="8" w:space="0"/>
            </w:tcBorders>
            <w:vAlign w:val="bottom"/>
          </w:tcPr>
          <w:p>
            <w:pPr>
              <w:spacing w:after="0"/>
              <w:rPr>
                <w:color w:val="auto"/>
                <w:sz w:val="15"/>
                <w:szCs w:val="15"/>
              </w:rPr>
            </w:pPr>
          </w:p>
        </w:tc>
        <w:tc>
          <w:tcPr>
            <w:tcW w:w="1420" w:type="dxa"/>
            <w:vMerge w:val="restart"/>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会、国家发</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3" w:hRule="atLeast"/>
        </w:trPr>
        <w:tc>
          <w:tcPr>
            <w:tcW w:w="1800" w:type="dxa"/>
            <w:vMerge w:val="restart"/>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以限制。</w:t>
            </w:r>
          </w:p>
        </w:tc>
        <w:tc>
          <w:tcPr>
            <w:tcW w:w="10620" w:type="dxa"/>
            <w:vMerge w:val="restart"/>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333333"/>
                <w:sz w:val="24"/>
                <w:szCs w:val="24"/>
              </w:rPr>
              <w:t>公司违反前款规定选举、委派董事、监事或者聘任高级管理人员的，该选举、委派或者聘任无</w:t>
            </w:r>
          </w:p>
        </w:tc>
        <w:tc>
          <w:tcPr>
            <w:tcW w:w="1420" w:type="dxa"/>
            <w:vMerge w:val="continue"/>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8" w:hRule="atLeast"/>
        </w:trPr>
        <w:tc>
          <w:tcPr>
            <w:tcW w:w="1800" w:type="dxa"/>
            <w:vMerge w:val="continue"/>
            <w:tcBorders>
              <w:left w:val="single" w:color="auto" w:sz="8" w:space="0"/>
              <w:right w:val="single" w:color="auto" w:sz="8" w:space="0"/>
            </w:tcBorders>
            <w:vAlign w:val="bottom"/>
          </w:tcPr>
          <w:p>
            <w:pPr>
              <w:spacing w:after="0"/>
              <w:rPr>
                <w:color w:val="auto"/>
                <w:sz w:val="15"/>
                <w:szCs w:val="15"/>
              </w:rPr>
            </w:pPr>
          </w:p>
        </w:tc>
        <w:tc>
          <w:tcPr>
            <w:tcW w:w="10620" w:type="dxa"/>
            <w:vMerge w:val="continue"/>
            <w:tcBorders>
              <w:right w:val="single" w:color="auto" w:sz="8" w:space="0"/>
            </w:tcBorders>
            <w:vAlign w:val="bottom"/>
          </w:tcPr>
          <w:p>
            <w:pPr>
              <w:spacing w:after="0"/>
              <w:rPr>
                <w:color w:val="auto"/>
                <w:sz w:val="15"/>
                <w:szCs w:val="15"/>
              </w:rPr>
            </w:pPr>
          </w:p>
        </w:tc>
        <w:tc>
          <w:tcPr>
            <w:tcW w:w="1420" w:type="dxa"/>
            <w:vMerge w:val="restart"/>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展改革委等</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3" w:hRule="atLeast"/>
        </w:trPr>
        <w:tc>
          <w:tcPr>
            <w:tcW w:w="1800" w:type="dxa"/>
            <w:tcBorders>
              <w:left w:val="single" w:color="auto" w:sz="8" w:space="0"/>
              <w:right w:val="single" w:color="auto" w:sz="8" w:space="0"/>
            </w:tcBorders>
            <w:vAlign w:val="bottom"/>
          </w:tcPr>
          <w:p>
            <w:pPr>
              <w:spacing w:after="0"/>
              <w:rPr>
                <w:color w:val="auto"/>
                <w:sz w:val="15"/>
                <w:szCs w:val="15"/>
              </w:rPr>
            </w:pPr>
          </w:p>
        </w:tc>
        <w:tc>
          <w:tcPr>
            <w:tcW w:w="10620" w:type="dxa"/>
            <w:vMerge w:val="restart"/>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效。</w:t>
            </w:r>
          </w:p>
        </w:tc>
        <w:tc>
          <w:tcPr>
            <w:tcW w:w="1420" w:type="dxa"/>
            <w:vMerge w:val="continue"/>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8" w:hRule="atLeast"/>
        </w:trPr>
        <w:tc>
          <w:tcPr>
            <w:tcW w:w="1800" w:type="dxa"/>
            <w:tcBorders>
              <w:left w:val="single" w:color="auto" w:sz="8" w:space="0"/>
              <w:right w:val="single" w:color="auto" w:sz="8" w:space="0"/>
            </w:tcBorders>
            <w:vAlign w:val="bottom"/>
          </w:tcPr>
          <w:p>
            <w:pPr>
              <w:spacing w:after="0"/>
              <w:rPr>
                <w:color w:val="auto"/>
                <w:sz w:val="15"/>
                <w:szCs w:val="15"/>
              </w:rPr>
            </w:pPr>
          </w:p>
        </w:tc>
        <w:tc>
          <w:tcPr>
            <w:tcW w:w="10620" w:type="dxa"/>
            <w:vMerge w:val="continue"/>
            <w:tcBorders>
              <w:right w:val="single" w:color="auto" w:sz="8" w:space="0"/>
            </w:tcBorders>
            <w:vAlign w:val="bottom"/>
          </w:tcPr>
          <w:p>
            <w:pPr>
              <w:spacing w:after="0"/>
              <w:rPr>
                <w:color w:val="auto"/>
                <w:sz w:val="15"/>
                <w:szCs w:val="15"/>
              </w:rPr>
            </w:pPr>
          </w:p>
        </w:tc>
        <w:tc>
          <w:tcPr>
            <w:tcW w:w="1420" w:type="dxa"/>
            <w:vMerge w:val="restart"/>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相关部门</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5" w:hRule="atLeast"/>
        </w:trPr>
        <w:tc>
          <w:tcPr>
            <w:tcW w:w="1800" w:type="dxa"/>
            <w:tcBorders>
              <w:left w:val="single" w:color="auto" w:sz="8" w:space="0"/>
              <w:right w:val="single" w:color="auto" w:sz="8" w:space="0"/>
            </w:tcBorders>
            <w:vAlign w:val="bottom"/>
          </w:tcPr>
          <w:p>
            <w:pPr>
              <w:spacing w:after="0"/>
              <w:rPr>
                <w:color w:val="auto"/>
                <w:sz w:val="15"/>
                <w:szCs w:val="15"/>
              </w:rPr>
            </w:pPr>
          </w:p>
        </w:tc>
        <w:tc>
          <w:tcPr>
            <w:tcW w:w="10620" w:type="dxa"/>
            <w:vMerge w:val="restart"/>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333333"/>
                <w:sz w:val="24"/>
                <w:szCs w:val="24"/>
              </w:rPr>
              <w:t>董事、监事、高级管理人员在任职期间出现本条第一款所列情形的，公司应当解除其职务。</w:t>
            </w:r>
          </w:p>
        </w:tc>
        <w:tc>
          <w:tcPr>
            <w:tcW w:w="1420" w:type="dxa"/>
            <w:vMerge w:val="continue"/>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5" w:hRule="atLeast"/>
        </w:trPr>
        <w:tc>
          <w:tcPr>
            <w:tcW w:w="1800" w:type="dxa"/>
            <w:tcBorders>
              <w:left w:val="single" w:color="auto" w:sz="8" w:space="0"/>
              <w:right w:val="single" w:color="auto" w:sz="8" w:space="0"/>
            </w:tcBorders>
            <w:vAlign w:val="bottom"/>
          </w:tcPr>
          <w:p>
            <w:pPr>
              <w:spacing w:after="0"/>
              <w:rPr>
                <w:color w:val="auto"/>
                <w:sz w:val="15"/>
                <w:szCs w:val="15"/>
              </w:rPr>
            </w:pPr>
          </w:p>
        </w:tc>
        <w:tc>
          <w:tcPr>
            <w:tcW w:w="10620" w:type="dxa"/>
            <w:vMerge w:val="continue"/>
            <w:tcBorders>
              <w:right w:val="single" w:color="auto" w:sz="8" w:space="0"/>
            </w:tcBorders>
            <w:vAlign w:val="bottom"/>
          </w:tcPr>
          <w:p>
            <w:pPr>
              <w:spacing w:after="0"/>
              <w:rPr>
                <w:color w:val="auto"/>
                <w:sz w:val="15"/>
                <w:szCs w:val="15"/>
              </w:rPr>
            </w:pPr>
          </w:p>
        </w:tc>
        <w:tc>
          <w:tcPr>
            <w:tcW w:w="1420" w:type="dxa"/>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64"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333333"/>
                <w:sz w:val="24"/>
                <w:szCs w:val="24"/>
              </w:rPr>
              <w:t>2</w:t>
            </w:r>
            <w:r>
              <w:rPr>
                <w:rFonts w:ascii="宋体" w:hAnsi="宋体" w:eastAsia="宋体" w:cs="宋体"/>
                <w:b/>
                <w:bCs/>
                <w:color w:val="333333"/>
                <w:sz w:val="24"/>
                <w:szCs w:val="24"/>
              </w:rPr>
              <w:t>、《中华人民共和国企业国有资产法》</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36"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333333"/>
                <w:sz w:val="24"/>
                <w:szCs w:val="24"/>
              </w:rPr>
              <w:t>第二十三条 履行出资人职责的机构任命或者建议任命的董事、监事、高级管理人员，应当具备</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40" w:hRule="atLeast"/>
        </w:trPr>
        <w:tc>
          <w:tcPr>
            <w:tcW w:w="180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10620" w:type="dxa"/>
            <w:tcBorders>
              <w:bottom w:val="single" w:color="auto" w:sz="8" w:space="0"/>
              <w:right w:val="single" w:color="auto" w:sz="8" w:space="0"/>
            </w:tcBorders>
            <w:vAlign w:val="bottom"/>
          </w:tcPr>
          <w:p>
            <w:pPr>
              <w:spacing w:after="0"/>
              <w:rPr>
                <w:color w:val="auto"/>
                <w:sz w:val="3"/>
                <w:szCs w:val="3"/>
              </w:rPr>
            </w:pPr>
          </w:p>
        </w:tc>
        <w:tc>
          <w:tcPr>
            <w:tcW w:w="1420" w:type="dxa"/>
            <w:tcBorders>
              <w:bottom w:val="single" w:color="auto" w:sz="8" w:space="0"/>
              <w:right w:val="single" w:color="auto" w:sz="8" w:space="0"/>
            </w:tcBorders>
            <w:vAlign w:val="bottom"/>
          </w:tcPr>
          <w:p>
            <w:pPr>
              <w:spacing w:after="0"/>
              <w:rPr>
                <w:color w:val="auto"/>
                <w:sz w:val="3"/>
                <w:szCs w:val="3"/>
              </w:rPr>
            </w:pPr>
          </w:p>
        </w:tc>
        <w:tc>
          <w:tcPr>
            <w:tcW w:w="0" w:type="dxa"/>
            <w:vAlign w:val="bottom"/>
          </w:tcPr>
          <w:p>
            <w:pPr>
              <w:spacing w:after="0"/>
              <w:rPr>
                <w:color w:val="auto"/>
                <w:sz w:val="1"/>
                <w:szCs w:val="1"/>
              </w:rPr>
            </w:pPr>
          </w:p>
        </w:tc>
      </w:tr>
    </w:tbl>
    <w:p>
      <w:pPr>
        <w:spacing w:after="0" w:line="57" w:lineRule="exact"/>
        <w:rPr>
          <w:color w:val="auto"/>
          <w:sz w:val="20"/>
          <w:szCs w:val="20"/>
        </w:rPr>
      </w:pPr>
    </w:p>
    <w:p>
      <w:pPr>
        <w:sectPr>
          <w:pgSz w:w="16840" w:h="11906" w:orient="landscape"/>
          <w:pgMar w:top="1440" w:right="1440" w:bottom="808" w:left="1440" w:header="0" w:footer="0" w:gutter="0"/>
          <w:cols w:equalWidth="0" w:num="1">
            <w:col w:w="13958"/>
          </w:cols>
        </w:sectPr>
      </w:pPr>
    </w:p>
    <w:p>
      <w:pPr>
        <w:spacing w:after="0"/>
        <w:ind w:right="-1"/>
        <w:jc w:val="center"/>
        <w:rPr>
          <w:color w:val="auto"/>
          <w:sz w:val="20"/>
          <w:szCs w:val="20"/>
        </w:rPr>
      </w:pPr>
      <w:r>
        <w:rPr>
          <w:rFonts w:ascii="Times New Roman" w:hAnsi="Times New Roman" w:eastAsia="Times New Roman" w:cs="Times New Roman"/>
          <w:color w:val="auto"/>
          <w:sz w:val="24"/>
          <w:szCs w:val="24"/>
        </w:rPr>
        <w:t>15</w:t>
      </w:r>
    </w:p>
    <w:p>
      <w:pPr>
        <w:sectPr>
          <w:type w:val="continuous"/>
          <w:pgSz w:w="16840" w:h="11906" w:orient="landscape"/>
          <w:pgMar w:top="1440" w:right="1440" w:bottom="808" w:left="1440" w:header="0" w:footer="0" w:gutter="0"/>
          <w:cols w:equalWidth="0" w:num="1">
            <w:col w:w="13958"/>
          </w:cols>
        </w:sectPr>
      </w:pPr>
    </w:p>
    <w:p>
      <w:pPr>
        <w:spacing w:after="0" w:line="338" w:lineRule="exact"/>
        <w:rPr>
          <w:color w:val="auto"/>
          <w:sz w:val="20"/>
          <w:szCs w:val="20"/>
        </w:rPr>
      </w:pPr>
      <w:bookmarkStart w:id="14" w:name="page22"/>
      <w:bookmarkEnd w:id="14"/>
      <w:r>
        <w:rPr>
          <w:color w:val="auto"/>
          <w:sz w:val="20"/>
          <w:szCs w:val="20"/>
        </w:rPr>
        <w:drawing>
          <wp:anchor distT="0" distB="0" distL="114300" distR="114300" simplePos="0" relativeHeight="251658240" behindDoc="1" locked="0" layoutInCell="0" allowOverlap="1">
            <wp:simplePos x="0" y="0"/>
            <wp:positionH relativeFrom="page">
              <wp:posOffset>954405</wp:posOffset>
            </wp:positionH>
            <wp:positionV relativeFrom="page">
              <wp:posOffset>1116330</wp:posOffset>
            </wp:positionV>
            <wp:extent cx="8783320" cy="5144770"/>
            <wp:effectExtent l="0" t="0" r="1016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a:xfrm>
                      <a:off x="0" y="0"/>
                      <a:ext cx="8783320" cy="5144770"/>
                    </a:xfrm>
                    <a:prstGeom prst="rect">
                      <a:avLst/>
                    </a:prstGeom>
                    <a:noFill/>
                  </pic:spPr>
                </pic:pic>
              </a:graphicData>
            </a:graphic>
          </wp:anchor>
        </w:drawing>
      </w:r>
    </w:p>
    <w:p>
      <w:pPr>
        <w:spacing w:after="0" w:line="331" w:lineRule="exact"/>
        <w:ind w:left="1960" w:right="1598"/>
        <w:jc w:val="both"/>
        <w:rPr>
          <w:color w:val="auto"/>
          <w:sz w:val="20"/>
          <w:szCs w:val="20"/>
        </w:rPr>
      </w:pPr>
      <w:r>
        <w:rPr>
          <w:rFonts w:ascii="宋体" w:hAnsi="宋体" w:eastAsia="宋体" w:cs="宋体"/>
          <w:color w:val="333333"/>
          <w:sz w:val="24"/>
          <w:szCs w:val="24"/>
        </w:rPr>
        <w:t>下列条件：（</w:t>
      </w:r>
      <w:r>
        <w:rPr>
          <w:rFonts w:ascii="Times New Roman" w:hAnsi="Times New Roman" w:eastAsia="Times New Roman" w:cs="Times New Roman"/>
          <w:color w:val="333333"/>
          <w:sz w:val="24"/>
          <w:szCs w:val="24"/>
        </w:rPr>
        <w:t>1</w:t>
      </w:r>
      <w:r>
        <w:rPr>
          <w:rFonts w:ascii="宋体" w:hAnsi="宋体" w:eastAsia="宋体" w:cs="宋体"/>
          <w:color w:val="333333"/>
          <w:sz w:val="24"/>
          <w:szCs w:val="24"/>
        </w:rPr>
        <w:t>）有良好的品行；（</w:t>
      </w:r>
      <w:r>
        <w:rPr>
          <w:rFonts w:ascii="Times New Roman" w:hAnsi="Times New Roman" w:eastAsia="Times New Roman" w:cs="Times New Roman"/>
          <w:color w:val="333333"/>
          <w:sz w:val="24"/>
          <w:szCs w:val="24"/>
        </w:rPr>
        <w:t>2</w:t>
      </w:r>
      <w:r>
        <w:rPr>
          <w:rFonts w:ascii="宋体" w:hAnsi="宋体" w:eastAsia="宋体" w:cs="宋体"/>
          <w:color w:val="333333"/>
          <w:sz w:val="24"/>
          <w:szCs w:val="24"/>
        </w:rPr>
        <w:t>）有符合职位要求的专业知识和工作能力；（</w:t>
      </w:r>
      <w:r>
        <w:rPr>
          <w:rFonts w:ascii="Times New Roman" w:hAnsi="Times New Roman" w:eastAsia="Times New Roman" w:cs="Times New Roman"/>
          <w:color w:val="333333"/>
          <w:sz w:val="24"/>
          <w:szCs w:val="24"/>
        </w:rPr>
        <w:t>3</w:t>
      </w:r>
      <w:r>
        <w:rPr>
          <w:rFonts w:ascii="宋体" w:hAnsi="宋体" w:eastAsia="宋体" w:cs="宋体"/>
          <w:color w:val="333333"/>
          <w:sz w:val="24"/>
          <w:szCs w:val="24"/>
        </w:rPr>
        <w:t>）有能够正常履行职责的身体条件；（</w:t>
      </w:r>
      <w:r>
        <w:rPr>
          <w:rFonts w:ascii="Times New Roman" w:hAnsi="Times New Roman" w:eastAsia="Times New Roman" w:cs="Times New Roman"/>
          <w:color w:val="333333"/>
          <w:sz w:val="24"/>
          <w:szCs w:val="24"/>
        </w:rPr>
        <w:t>4</w:t>
      </w:r>
      <w:r>
        <w:rPr>
          <w:rFonts w:ascii="宋体" w:hAnsi="宋体" w:eastAsia="宋体" w:cs="宋体"/>
          <w:color w:val="333333"/>
          <w:sz w:val="24"/>
          <w:szCs w:val="24"/>
        </w:rPr>
        <w:t>）法律、行政法规规定的其他条件。</w:t>
      </w:r>
    </w:p>
    <w:p>
      <w:pPr>
        <w:spacing w:after="0" w:line="69" w:lineRule="exact"/>
        <w:rPr>
          <w:color w:val="auto"/>
          <w:sz w:val="20"/>
          <w:szCs w:val="20"/>
        </w:rPr>
      </w:pPr>
    </w:p>
    <w:p>
      <w:pPr>
        <w:spacing w:after="0" w:line="323" w:lineRule="exact"/>
        <w:ind w:left="1960" w:right="1598" w:firstLine="480"/>
        <w:jc w:val="both"/>
        <w:rPr>
          <w:color w:val="auto"/>
          <w:sz w:val="20"/>
          <w:szCs w:val="20"/>
        </w:rPr>
      </w:pPr>
      <w:r>
        <w:rPr>
          <w:rFonts w:ascii="宋体" w:hAnsi="宋体" w:eastAsia="宋体" w:cs="宋体"/>
          <w:color w:val="333333"/>
          <w:sz w:val="24"/>
          <w:szCs w:val="24"/>
        </w:rPr>
        <w:t>董事、监事、高级管理人员在任职期间出现不符合前款规定情形或者出现《中华人民共和国公司法》规定的不得担任公司董事、监事、高级管理人员情形的，履行出资人职责的机构应当依法予以免职或者提出免职建议。</w:t>
      </w:r>
    </w:p>
    <w:p>
      <w:pPr>
        <w:spacing w:after="0" w:line="61" w:lineRule="exact"/>
        <w:rPr>
          <w:color w:val="auto"/>
          <w:sz w:val="20"/>
          <w:szCs w:val="20"/>
        </w:rPr>
      </w:pPr>
    </w:p>
    <w:p>
      <w:pPr>
        <w:spacing w:after="0" w:line="334" w:lineRule="exact"/>
        <w:ind w:left="1960" w:right="1558" w:firstLine="480"/>
        <w:rPr>
          <w:color w:val="auto"/>
          <w:sz w:val="20"/>
          <w:szCs w:val="20"/>
        </w:rPr>
      </w:pPr>
      <w:r>
        <w:rPr>
          <w:rFonts w:ascii="Times New Roman" w:hAnsi="Times New Roman" w:eastAsia="Times New Roman" w:cs="Times New Roman"/>
          <w:b/>
          <w:bCs/>
          <w:color w:val="333333"/>
          <w:sz w:val="24"/>
          <w:szCs w:val="24"/>
        </w:rPr>
        <w:t>1</w:t>
      </w:r>
      <w:r>
        <w:rPr>
          <w:rFonts w:ascii="宋体" w:hAnsi="宋体" w:eastAsia="宋体" w:cs="宋体"/>
          <w:b/>
          <w:bCs/>
          <w:color w:val="333333"/>
          <w:sz w:val="24"/>
          <w:szCs w:val="24"/>
        </w:rPr>
        <w:t>、《中央编办关于批转</w:t>
      </w:r>
      <w:r>
        <w:rPr>
          <w:rFonts w:ascii="Times New Roman" w:hAnsi="Times New Roman" w:eastAsia="Times New Roman" w:cs="Times New Roman"/>
          <w:b/>
          <w:bCs/>
          <w:color w:val="333333"/>
          <w:sz w:val="24"/>
          <w:szCs w:val="24"/>
        </w:rPr>
        <w:t>&lt;</w:t>
      </w:r>
      <w:r>
        <w:rPr>
          <w:rFonts w:ascii="宋体" w:hAnsi="宋体" w:eastAsia="宋体" w:cs="宋体"/>
          <w:b/>
          <w:bCs/>
          <w:color w:val="333333"/>
          <w:sz w:val="24"/>
          <w:szCs w:val="24"/>
        </w:rPr>
        <w:t>事业单位、社会团体及企业等组织利用国有资产举办事业单位设立登记办法（试行）</w:t>
      </w:r>
      <w:r>
        <w:rPr>
          <w:rFonts w:ascii="Times New Roman" w:hAnsi="Times New Roman" w:eastAsia="Times New Roman" w:cs="Times New Roman"/>
          <w:b/>
          <w:bCs/>
          <w:color w:val="333333"/>
          <w:sz w:val="24"/>
          <w:szCs w:val="24"/>
        </w:rPr>
        <w:t>&gt;</w:t>
      </w:r>
      <w:r>
        <w:rPr>
          <w:rFonts w:ascii="宋体" w:hAnsi="宋体" w:eastAsia="宋体" w:cs="宋体"/>
          <w:b/>
          <w:bCs/>
          <w:color w:val="333333"/>
          <w:sz w:val="24"/>
          <w:szCs w:val="24"/>
        </w:rPr>
        <w:t>的通知》</w:t>
      </w:r>
    </w:p>
    <w:p>
      <w:pPr>
        <w:spacing w:after="0" w:line="69" w:lineRule="exact"/>
        <w:rPr>
          <w:color w:val="auto"/>
          <w:sz w:val="20"/>
          <w:szCs w:val="20"/>
        </w:rPr>
      </w:pPr>
    </w:p>
    <w:p>
      <w:pPr>
        <w:spacing w:after="0" w:line="316" w:lineRule="exact"/>
        <w:ind w:left="180" w:right="1598" w:firstLine="2266"/>
        <w:rPr>
          <w:color w:val="auto"/>
          <w:sz w:val="20"/>
          <w:szCs w:val="20"/>
        </w:rPr>
      </w:pPr>
      <w:r>
        <w:rPr>
          <w:rFonts w:ascii="宋体" w:hAnsi="宋体" w:eastAsia="宋体" w:cs="宋体"/>
          <w:color w:val="333333"/>
          <w:sz w:val="23"/>
          <w:szCs w:val="23"/>
        </w:rPr>
        <w:t>第四条 登记事项要求：</w:t>
      </w:r>
      <w:r>
        <w:rPr>
          <w:rFonts w:ascii="Arial" w:hAnsi="Arial" w:eastAsia="Arial" w:cs="Arial"/>
          <w:color w:val="333333"/>
          <w:sz w:val="23"/>
          <w:szCs w:val="23"/>
        </w:rPr>
        <w:t xml:space="preserve"> …</w:t>
      </w:r>
      <w:r>
        <w:rPr>
          <w:rFonts w:ascii="宋体" w:hAnsi="宋体" w:eastAsia="宋体" w:cs="宋体"/>
          <w:color w:val="333333"/>
          <w:sz w:val="23"/>
          <w:szCs w:val="23"/>
        </w:rPr>
        <w:t>（四）法定代表人。应当是具有完全民事行为能力的中国公民，且</w:t>
      </w:r>
      <w:r>
        <w:rPr>
          <w:rFonts w:ascii="Times New Roman" w:hAnsi="Times New Roman" w:eastAsia="Times New Roman" w:cs="Times New Roman"/>
          <w:color w:val="333333"/>
          <w:sz w:val="23"/>
          <w:szCs w:val="23"/>
        </w:rPr>
        <w:t>21</w:t>
      </w:r>
      <w:r>
        <w:rPr>
          <w:rFonts w:ascii="宋体" w:hAnsi="宋体" w:eastAsia="宋体" w:cs="宋体"/>
          <w:color w:val="333333"/>
          <w:sz w:val="23"/>
          <w:szCs w:val="23"/>
        </w:rPr>
        <w:t>、对失信主体 为该单位主要行政负责人，年龄一般不超过</w:t>
      </w:r>
      <w:r>
        <w:rPr>
          <w:rFonts w:ascii="Times New Roman" w:hAnsi="Times New Roman" w:eastAsia="Times New Roman" w:cs="Times New Roman"/>
          <w:color w:val="333333"/>
          <w:sz w:val="23"/>
          <w:szCs w:val="23"/>
        </w:rPr>
        <w:t xml:space="preserve"> 70 </w:t>
      </w:r>
      <w:r>
        <w:rPr>
          <w:rFonts w:ascii="宋体" w:hAnsi="宋体" w:eastAsia="宋体" w:cs="宋体"/>
          <w:color w:val="333333"/>
          <w:sz w:val="23"/>
          <w:szCs w:val="23"/>
        </w:rPr>
        <w:t>周岁，无不良信用记录。担任过其他机构法定代表人</w:t>
      </w:r>
    </w:p>
    <w:p>
      <w:pPr>
        <w:tabs>
          <w:tab w:val="left" w:pos="1940"/>
        </w:tabs>
        <w:spacing w:after="0" w:line="245" w:lineRule="exact"/>
        <w:ind w:left="180"/>
        <w:rPr>
          <w:color w:val="auto"/>
          <w:sz w:val="20"/>
          <w:szCs w:val="20"/>
        </w:rPr>
      </w:pPr>
      <w:r>
        <w:rPr>
          <w:rFonts w:ascii="宋体" w:hAnsi="宋体" w:eastAsia="宋体" w:cs="宋体"/>
          <w:color w:val="333333"/>
          <w:sz w:val="24"/>
          <w:szCs w:val="24"/>
        </w:rPr>
        <w:t>登记为事业单</w:t>
      </w:r>
      <w:r>
        <w:rPr>
          <w:color w:val="auto"/>
          <w:sz w:val="20"/>
          <w:szCs w:val="20"/>
        </w:rPr>
        <w:tab/>
      </w:r>
      <w:r>
        <w:rPr>
          <w:rFonts w:ascii="宋体" w:hAnsi="宋体" w:eastAsia="宋体" w:cs="宋体"/>
          <w:color w:val="333333"/>
          <w:sz w:val="23"/>
          <w:szCs w:val="23"/>
        </w:rPr>
        <w:t>的，在任职期间，该机构无不良信用记录。</w:t>
      </w:r>
    </w:p>
    <w:p>
      <w:pPr>
        <w:spacing w:after="0" w:line="175" w:lineRule="exact"/>
        <w:ind w:left="12580"/>
        <w:rPr>
          <w:color w:val="auto"/>
          <w:sz w:val="20"/>
          <w:szCs w:val="20"/>
        </w:rPr>
      </w:pPr>
      <w:r>
        <w:rPr>
          <w:rFonts w:ascii="宋体" w:hAnsi="宋体" w:eastAsia="宋体" w:cs="宋体"/>
          <w:color w:val="333333"/>
          <w:sz w:val="20"/>
          <w:szCs w:val="20"/>
        </w:rPr>
        <w:t>中央编办</w:t>
      </w:r>
    </w:p>
    <w:p>
      <w:pPr>
        <w:tabs>
          <w:tab w:val="left" w:pos="2420"/>
        </w:tabs>
        <w:spacing w:after="0" w:line="270" w:lineRule="exact"/>
        <w:ind w:left="180"/>
        <w:rPr>
          <w:color w:val="auto"/>
          <w:sz w:val="20"/>
          <w:szCs w:val="20"/>
        </w:rPr>
      </w:pPr>
      <w:r>
        <w:rPr>
          <w:rFonts w:ascii="宋体" w:hAnsi="宋体" w:eastAsia="宋体" w:cs="宋体"/>
          <w:color w:val="333333"/>
          <w:sz w:val="24"/>
          <w:szCs w:val="24"/>
        </w:rPr>
        <w:t>位法定代表人</w:t>
      </w:r>
      <w:r>
        <w:rPr>
          <w:color w:val="auto"/>
          <w:sz w:val="20"/>
          <w:szCs w:val="20"/>
        </w:rPr>
        <w:tab/>
      </w:r>
      <w:r>
        <w:rPr>
          <w:rFonts w:ascii="宋体" w:hAnsi="宋体" w:eastAsia="宋体" w:cs="宋体"/>
          <w:color w:val="333333"/>
          <w:sz w:val="23"/>
          <w:szCs w:val="23"/>
        </w:rPr>
        <w:t>党政机关领导干部在职或退休后拟担任法定代表人的，应当符合干部管理有关规定。</w:t>
      </w:r>
    </w:p>
    <w:p>
      <w:pPr>
        <w:spacing w:after="0" w:line="47" w:lineRule="exact"/>
        <w:rPr>
          <w:color w:val="auto"/>
          <w:sz w:val="20"/>
          <w:szCs w:val="20"/>
        </w:rPr>
      </w:pPr>
    </w:p>
    <w:p>
      <w:pPr>
        <w:tabs>
          <w:tab w:val="left" w:pos="2420"/>
        </w:tabs>
        <w:spacing w:after="0" w:line="292" w:lineRule="exact"/>
        <w:ind w:left="180"/>
        <w:rPr>
          <w:color w:val="auto"/>
          <w:sz w:val="20"/>
          <w:szCs w:val="20"/>
        </w:rPr>
      </w:pPr>
      <w:r>
        <w:rPr>
          <w:rFonts w:ascii="宋体" w:hAnsi="宋体" w:eastAsia="宋体" w:cs="宋体"/>
          <w:color w:val="333333"/>
          <w:sz w:val="24"/>
          <w:szCs w:val="24"/>
        </w:rPr>
        <w:t>依法予以限制。</w:t>
      </w:r>
      <w:r>
        <w:rPr>
          <w:color w:val="auto"/>
          <w:sz w:val="20"/>
          <w:szCs w:val="20"/>
        </w:rPr>
        <w:tab/>
      </w:r>
      <w:r>
        <w:rPr>
          <w:rFonts w:ascii="Times New Roman" w:hAnsi="Times New Roman" w:eastAsia="Times New Roman" w:cs="Times New Roman"/>
          <w:b/>
          <w:bCs/>
          <w:color w:val="333333"/>
          <w:sz w:val="24"/>
          <w:szCs w:val="24"/>
        </w:rPr>
        <w:t>2</w:t>
      </w:r>
      <w:r>
        <w:rPr>
          <w:rFonts w:ascii="宋体" w:hAnsi="宋体" w:eastAsia="宋体" w:cs="宋体"/>
          <w:b/>
          <w:bCs/>
          <w:color w:val="333333"/>
          <w:sz w:val="24"/>
          <w:szCs w:val="24"/>
        </w:rPr>
        <w:t>、《事业单位登记管理暂行条例实施细则》</w:t>
      </w:r>
    </w:p>
    <w:p>
      <w:pPr>
        <w:spacing w:after="0" w:line="89" w:lineRule="exact"/>
        <w:rPr>
          <w:color w:val="auto"/>
          <w:sz w:val="20"/>
          <w:szCs w:val="20"/>
        </w:rPr>
      </w:pPr>
    </w:p>
    <w:p>
      <w:pPr>
        <w:spacing w:after="0" w:line="274" w:lineRule="exact"/>
        <w:ind w:left="2440"/>
        <w:rPr>
          <w:color w:val="auto"/>
          <w:sz w:val="20"/>
          <w:szCs w:val="20"/>
        </w:rPr>
      </w:pPr>
      <w:r>
        <w:rPr>
          <w:rFonts w:ascii="宋体" w:hAnsi="宋体" w:eastAsia="宋体" w:cs="宋体"/>
          <w:color w:val="333333"/>
          <w:sz w:val="24"/>
          <w:szCs w:val="24"/>
        </w:rPr>
        <w:t>第三十一条 事业单位法定代表人应当具备下列条件：（一）具有完全民事行为能力的自然人；</w:t>
      </w:r>
    </w:p>
    <w:p>
      <w:pPr>
        <w:spacing w:after="0" w:line="79" w:lineRule="exact"/>
        <w:rPr>
          <w:color w:val="auto"/>
          <w:sz w:val="20"/>
          <w:szCs w:val="20"/>
        </w:rPr>
      </w:pPr>
    </w:p>
    <w:p>
      <w:pPr>
        <w:spacing w:after="0" w:line="274" w:lineRule="exact"/>
        <w:ind w:left="1960"/>
        <w:rPr>
          <w:color w:val="auto"/>
          <w:sz w:val="20"/>
          <w:szCs w:val="20"/>
        </w:rPr>
      </w:pPr>
      <w:r>
        <w:rPr>
          <w:rFonts w:ascii="宋体" w:hAnsi="宋体" w:eastAsia="宋体" w:cs="宋体"/>
          <w:color w:val="333333"/>
          <w:sz w:val="24"/>
          <w:szCs w:val="24"/>
        </w:rPr>
        <w:t>（二）该事业单位的主要行政负责人。</w:t>
      </w:r>
    </w:p>
    <w:p>
      <w:pPr>
        <w:spacing w:after="0" w:line="74" w:lineRule="exact"/>
        <w:rPr>
          <w:color w:val="auto"/>
          <w:sz w:val="20"/>
          <w:szCs w:val="20"/>
        </w:rPr>
      </w:pPr>
    </w:p>
    <w:p>
      <w:pPr>
        <w:spacing w:after="0" w:line="274" w:lineRule="exact"/>
        <w:ind w:left="2440"/>
        <w:rPr>
          <w:color w:val="auto"/>
          <w:sz w:val="20"/>
          <w:szCs w:val="20"/>
        </w:rPr>
      </w:pPr>
      <w:r>
        <w:rPr>
          <w:rFonts w:ascii="宋体" w:hAnsi="宋体" w:eastAsia="宋体" w:cs="宋体"/>
          <w:color w:val="333333"/>
          <w:sz w:val="24"/>
          <w:szCs w:val="24"/>
        </w:rPr>
        <w:t>违反法律、法规和政策规定产生的事业单位主要行政负责人，不得担任事业单位法定代表人。</w:t>
      </w:r>
    </w:p>
    <w:p>
      <w:pPr>
        <w:spacing w:after="0" w:line="58" w:lineRule="exact"/>
        <w:rPr>
          <w:color w:val="auto"/>
          <w:sz w:val="20"/>
          <w:szCs w:val="20"/>
        </w:rPr>
      </w:pPr>
    </w:p>
    <w:p>
      <w:pPr>
        <w:spacing w:after="0" w:line="292" w:lineRule="exact"/>
        <w:ind w:left="2440"/>
        <w:rPr>
          <w:color w:val="auto"/>
          <w:sz w:val="20"/>
          <w:szCs w:val="20"/>
        </w:rPr>
      </w:pPr>
      <w:r>
        <w:rPr>
          <w:rFonts w:ascii="Times New Roman" w:hAnsi="Times New Roman" w:eastAsia="Times New Roman" w:cs="Times New Roman"/>
          <w:b/>
          <w:bCs/>
          <w:color w:val="333333"/>
          <w:sz w:val="24"/>
          <w:szCs w:val="24"/>
        </w:rPr>
        <w:t>1</w:t>
      </w:r>
      <w:r>
        <w:rPr>
          <w:rFonts w:ascii="宋体" w:hAnsi="宋体" w:eastAsia="宋体" w:cs="宋体"/>
          <w:b/>
          <w:bCs/>
          <w:color w:val="333333"/>
          <w:sz w:val="24"/>
          <w:szCs w:val="24"/>
        </w:rPr>
        <w:t>、《中华人民共和国公务员法》</w:t>
      </w:r>
    </w:p>
    <w:p>
      <w:pPr>
        <w:spacing w:after="0" w:line="267" w:lineRule="exact"/>
        <w:ind w:left="2440"/>
        <w:rPr>
          <w:color w:val="auto"/>
          <w:sz w:val="20"/>
          <w:szCs w:val="20"/>
        </w:rPr>
      </w:pPr>
      <w:r>
        <w:rPr>
          <w:rFonts w:ascii="宋体" w:hAnsi="宋体" w:eastAsia="宋体" w:cs="宋体"/>
          <w:color w:val="333333"/>
          <w:sz w:val="24"/>
          <w:szCs w:val="24"/>
        </w:rPr>
        <w:t>第十二条 公务员应当履行下列义务：（一）模范遵守宪法和法律；（二）按照规定的权限和程</w:t>
      </w:r>
    </w:p>
    <w:p>
      <w:pPr>
        <w:spacing w:after="0" w:line="177" w:lineRule="exact"/>
        <w:ind w:left="180"/>
        <w:rPr>
          <w:color w:val="auto"/>
          <w:sz w:val="20"/>
          <w:szCs w:val="20"/>
        </w:rPr>
      </w:pPr>
      <w:r>
        <w:rPr>
          <w:rFonts w:ascii="Times New Roman" w:hAnsi="Times New Roman" w:eastAsia="Times New Roman" w:cs="Times New Roman"/>
          <w:color w:val="333333"/>
          <w:sz w:val="19"/>
          <w:szCs w:val="19"/>
        </w:rPr>
        <w:t>22</w:t>
      </w:r>
      <w:r>
        <w:rPr>
          <w:rFonts w:ascii="宋体" w:hAnsi="宋体" w:eastAsia="宋体" w:cs="宋体"/>
          <w:color w:val="333333"/>
          <w:sz w:val="19"/>
          <w:szCs w:val="19"/>
        </w:rPr>
        <w:t>、对失信主体</w:t>
      </w:r>
    </w:p>
    <w:p>
      <w:pPr>
        <w:spacing w:after="0" w:line="173" w:lineRule="exact"/>
        <w:ind w:left="1960"/>
        <w:rPr>
          <w:color w:val="auto"/>
          <w:sz w:val="20"/>
          <w:szCs w:val="20"/>
        </w:rPr>
      </w:pPr>
      <w:r>
        <w:rPr>
          <w:rFonts w:ascii="宋体" w:hAnsi="宋体" w:eastAsia="宋体" w:cs="宋体"/>
          <w:color w:val="333333"/>
          <w:sz w:val="20"/>
          <w:szCs w:val="20"/>
        </w:rPr>
        <w:t>序认真履行职责，努力提高工作效率；（三）全心全意为人民服务，接受人民监督；（四）维护国</w:t>
      </w:r>
    </w:p>
    <w:p>
      <w:pPr>
        <w:spacing w:after="0" w:line="178" w:lineRule="exact"/>
        <w:ind w:left="180"/>
        <w:rPr>
          <w:color w:val="auto"/>
          <w:sz w:val="20"/>
          <w:szCs w:val="20"/>
        </w:rPr>
      </w:pPr>
      <w:r>
        <w:rPr>
          <w:rFonts w:ascii="宋体" w:hAnsi="宋体" w:eastAsia="宋体" w:cs="宋体"/>
          <w:color w:val="333333"/>
          <w:sz w:val="20"/>
          <w:szCs w:val="20"/>
        </w:rPr>
        <w:t>招录（聘）为公</w:t>
      </w:r>
    </w:p>
    <w:p>
      <w:pPr>
        <w:spacing w:after="0" w:line="176" w:lineRule="exact"/>
        <w:ind w:right="178"/>
        <w:jc w:val="right"/>
        <w:rPr>
          <w:color w:val="auto"/>
          <w:sz w:val="20"/>
          <w:szCs w:val="20"/>
        </w:rPr>
      </w:pPr>
      <w:r>
        <w:rPr>
          <w:rFonts w:ascii="宋体" w:hAnsi="宋体" w:eastAsia="宋体" w:cs="宋体"/>
          <w:color w:val="333333"/>
          <w:sz w:val="20"/>
          <w:szCs w:val="20"/>
        </w:rPr>
        <w:t>家的安全、荣誉和利益；（五）忠于职守，勤勉尽责，服从和执行上级依法作出的决定和命令；（六） 人力资源社</w:t>
      </w:r>
    </w:p>
    <w:p>
      <w:pPr>
        <w:spacing w:after="0" w:line="175" w:lineRule="exact"/>
        <w:ind w:left="180"/>
        <w:rPr>
          <w:color w:val="auto"/>
          <w:sz w:val="20"/>
          <w:szCs w:val="20"/>
        </w:rPr>
      </w:pPr>
      <w:r>
        <w:rPr>
          <w:rFonts w:ascii="宋体" w:hAnsi="宋体" w:eastAsia="宋体" w:cs="宋体"/>
          <w:color w:val="333333"/>
          <w:sz w:val="20"/>
          <w:szCs w:val="20"/>
        </w:rPr>
        <w:t>务员或事业单</w:t>
      </w:r>
    </w:p>
    <w:p>
      <w:pPr>
        <w:spacing w:after="0" w:line="173" w:lineRule="exact"/>
        <w:ind w:left="1960"/>
        <w:rPr>
          <w:color w:val="auto"/>
          <w:sz w:val="20"/>
          <w:szCs w:val="20"/>
        </w:rPr>
      </w:pPr>
      <w:r>
        <w:rPr>
          <w:rFonts w:ascii="宋体" w:hAnsi="宋体" w:eastAsia="宋体" w:cs="宋体"/>
          <w:color w:val="333333"/>
          <w:sz w:val="20"/>
          <w:szCs w:val="20"/>
        </w:rPr>
        <w:t>保守国家秘密和工作秘密；（七）遵守纪律，恪守职业道德，模范遵守社会公德；（八）清正廉洁， 会保障部</w:t>
      </w:r>
    </w:p>
    <w:p>
      <w:pPr>
        <w:spacing w:after="0" w:line="178" w:lineRule="exact"/>
        <w:ind w:left="180"/>
        <w:rPr>
          <w:color w:val="auto"/>
          <w:sz w:val="20"/>
          <w:szCs w:val="20"/>
        </w:rPr>
      </w:pPr>
      <w:r>
        <w:rPr>
          <w:rFonts w:ascii="宋体" w:hAnsi="宋体" w:eastAsia="宋体" w:cs="宋体"/>
          <w:color w:val="333333"/>
          <w:sz w:val="20"/>
          <w:szCs w:val="20"/>
        </w:rPr>
        <w:t>位工作人员依</w:t>
      </w:r>
    </w:p>
    <w:p>
      <w:pPr>
        <w:spacing w:after="0" w:line="175" w:lineRule="exact"/>
        <w:ind w:left="1960"/>
        <w:rPr>
          <w:color w:val="auto"/>
          <w:sz w:val="20"/>
          <w:szCs w:val="20"/>
        </w:rPr>
      </w:pPr>
      <w:r>
        <w:rPr>
          <w:rFonts w:ascii="宋体" w:hAnsi="宋体" w:eastAsia="宋体" w:cs="宋体"/>
          <w:color w:val="333333"/>
          <w:sz w:val="20"/>
          <w:szCs w:val="20"/>
        </w:rPr>
        <w:t>公道正派；（九）法律规定的其他义务。</w:t>
      </w:r>
    </w:p>
    <w:p>
      <w:pPr>
        <w:spacing w:after="0" w:line="175" w:lineRule="exact"/>
        <w:ind w:left="180"/>
        <w:rPr>
          <w:color w:val="auto"/>
          <w:sz w:val="20"/>
          <w:szCs w:val="20"/>
        </w:rPr>
      </w:pPr>
      <w:r>
        <w:rPr>
          <w:rFonts w:ascii="宋体" w:hAnsi="宋体" w:eastAsia="宋体" w:cs="宋体"/>
          <w:color w:val="333333"/>
          <w:sz w:val="20"/>
          <w:szCs w:val="20"/>
        </w:rPr>
        <w:t>法予以限制。</w:t>
      </w:r>
    </w:p>
    <w:p>
      <w:pPr>
        <w:spacing w:after="0" w:line="284" w:lineRule="exact"/>
        <w:ind w:left="2440"/>
        <w:rPr>
          <w:color w:val="auto"/>
          <w:sz w:val="20"/>
          <w:szCs w:val="20"/>
        </w:rPr>
      </w:pPr>
      <w:r>
        <w:rPr>
          <w:rFonts w:ascii="Times New Roman" w:hAnsi="Times New Roman" w:eastAsia="Times New Roman" w:cs="Times New Roman"/>
          <w:b/>
          <w:bCs/>
          <w:color w:val="333333"/>
          <w:sz w:val="24"/>
          <w:szCs w:val="24"/>
        </w:rPr>
        <w:t>2</w:t>
      </w:r>
      <w:r>
        <w:rPr>
          <w:rFonts w:ascii="宋体" w:hAnsi="宋体" w:eastAsia="宋体" w:cs="宋体"/>
          <w:b/>
          <w:bCs/>
          <w:color w:val="333333"/>
          <w:sz w:val="24"/>
          <w:szCs w:val="24"/>
        </w:rPr>
        <w:t>、《公务员录用规定（试行）》</w:t>
      </w:r>
    </w:p>
    <w:p>
      <w:pPr>
        <w:spacing w:after="0" w:line="46" w:lineRule="exact"/>
        <w:rPr>
          <w:color w:val="auto"/>
          <w:sz w:val="20"/>
          <w:szCs w:val="20"/>
        </w:rPr>
      </w:pPr>
    </w:p>
    <w:p>
      <w:pPr>
        <w:spacing w:after="0" w:line="291" w:lineRule="exact"/>
        <w:ind w:left="2440"/>
        <w:rPr>
          <w:color w:val="auto"/>
          <w:sz w:val="20"/>
          <w:szCs w:val="20"/>
        </w:rPr>
      </w:pPr>
      <w:r>
        <w:rPr>
          <w:rFonts w:ascii="宋体" w:hAnsi="宋体" w:eastAsia="宋体" w:cs="宋体"/>
          <w:color w:val="333333"/>
          <w:sz w:val="24"/>
          <w:szCs w:val="24"/>
        </w:rPr>
        <w:t>第十六条 报考公务员，应当具备下列资格条件：</w:t>
      </w:r>
      <w:r>
        <w:rPr>
          <w:rFonts w:ascii="Arial" w:hAnsi="Arial" w:eastAsia="Arial" w:cs="Arial"/>
          <w:color w:val="333333"/>
          <w:sz w:val="24"/>
          <w:szCs w:val="24"/>
        </w:rPr>
        <w:t>…</w:t>
      </w:r>
      <w:r>
        <w:rPr>
          <w:rFonts w:ascii="宋体" w:hAnsi="宋体" w:eastAsia="宋体" w:cs="宋体"/>
          <w:color w:val="333333"/>
          <w:sz w:val="24"/>
          <w:szCs w:val="24"/>
        </w:rPr>
        <w:t>（四）具有良好的品行；</w:t>
      </w:r>
      <w:r>
        <w:rPr>
          <w:rFonts w:ascii="Arial" w:hAnsi="Arial" w:eastAsia="Arial" w:cs="Arial"/>
          <w:color w:val="333333"/>
          <w:sz w:val="24"/>
          <w:szCs w:val="24"/>
        </w:rPr>
        <w:t>…</w:t>
      </w:r>
      <w:r>
        <w:rPr>
          <w:rFonts w:ascii="宋体" w:hAnsi="宋体" w:eastAsia="宋体" w:cs="宋体"/>
          <w:color w:val="333333"/>
          <w:sz w:val="24"/>
          <w:szCs w:val="24"/>
        </w:rPr>
        <w:t>（八）省级以上</w:t>
      </w:r>
    </w:p>
    <w:p>
      <w:pPr>
        <w:sectPr>
          <w:pgSz w:w="16840" w:h="11906" w:orient="landscape"/>
          <w:pgMar w:top="1440" w:right="1440" w:bottom="808" w:left="1440" w:header="0" w:footer="0" w:gutter="0"/>
          <w:cols w:equalWidth="0" w:num="1">
            <w:col w:w="13958"/>
          </w:cols>
        </w:sectPr>
      </w:pPr>
    </w:p>
    <w:p>
      <w:pPr>
        <w:spacing w:after="0" w:line="200" w:lineRule="exact"/>
        <w:rPr>
          <w:color w:val="auto"/>
          <w:sz w:val="20"/>
          <w:szCs w:val="20"/>
        </w:rPr>
      </w:pPr>
    </w:p>
    <w:p>
      <w:pPr>
        <w:spacing w:after="0" w:line="247" w:lineRule="exact"/>
        <w:rPr>
          <w:color w:val="auto"/>
          <w:sz w:val="20"/>
          <w:szCs w:val="20"/>
        </w:rPr>
      </w:pPr>
    </w:p>
    <w:p>
      <w:pPr>
        <w:spacing w:after="0"/>
        <w:ind w:right="-1"/>
        <w:jc w:val="center"/>
        <w:rPr>
          <w:color w:val="auto"/>
          <w:sz w:val="20"/>
          <w:szCs w:val="20"/>
        </w:rPr>
      </w:pPr>
      <w:r>
        <w:rPr>
          <w:rFonts w:ascii="Times New Roman" w:hAnsi="Times New Roman" w:eastAsia="Times New Roman" w:cs="Times New Roman"/>
          <w:color w:val="auto"/>
          <w:sz w:val="24"/>
          <w:szCs w:val="24"/>
        </w:rPr>
        <w:t>16</w:t>
      </w:r>
    </w:p>
    <w:p>
      <w:pPr>
        <w:sectPr>
          <w:type w:val="continuous"/>
          <w:pgSz w:w="16840" w:h="11906" w:orient="landscape"/>
          <w:pgMar w:top="1440" w:right="1440" w:bottom="808" w:left="1440" w:header="0" w:footer="0" w:gutter="0"/>
          <w:cols w:equalWidth="0" w:num="1">
            <w:col w:w="13958"/>
          </w:cols>
        </w:sectPr>
      </w:pPr>
    </w:p>
    <w:p>
      <w:pPr>
        <w:spacing w:after="0" w:line="298" w:lineRule="exact"/>
        <w:rPr>
          <w:color w:val="auto"/>
          <w:sz w:val="20"/>
          <w:szCs w:val="20"/>
        </w:rPr>
      </w:pPr>
      <w:bookmarkStart w:id="15" w:name="page23"/>
      <w:bookmarkEnd w:id="15"/>
    </w:p>
    <w:tbl>
      <w:tblPr>
        <w:tblStyle w:val="2"/>
        <w:tblW w:w="0" w:type="auto"/>
        <w:tblInd w:w="70" w:type="dxa"/>
        <w:tblLayout w:type="fixed"/>
        <w:tblCellMar>
          <w:top w:w="0" w:type="dxa"/>
          <w:left w:w="0" w:type="dxa"/>
          <w:bottom w:w="0" w:type="dxa"/>
          <w:right w:w="0" w:type="dxa"/>
        </w:tblCellMar>
      </w:tblPr>
      <w:tblGrid>
        <w:gridCol w:w="1800"/>
        <w:gridCol w:w="10620"/>
        <w:gridCol w:w="1420"/>
      </w:tblGrid>
      <w:tr>
        <w:tblPrEx>
          <w:tblCellMar>
            <w:top w:w="0" w:type="dxa"/>
            <w:left w:w="0" w:type="dxa"/>
            <w:bottom w:w="0" w:type="dxa"/>
            <w:right w:w="0" w:type="dxa"/>
          </w:tblCellMar>
        </w:tblPrEx>
        <w:trPr>
          <w:trHeight w:val="319" w:hRule="atLeast"/>
        </w:trPr>
        <w:tc>
          <w:tcPr>
            <w:tcW w:w="1800" w:type="dxa"/>
            <w:tcBorders>
              <w:top w:val="single" w:color="auto" w:sz="8" w:space="0"/>
              <w:left w:val="single" w:color="auto" w:sz="8" w:space="0"/>
              <w:right w:val="single" w:color="auto" w:sz="8" w:space="0"/>
            </w:tcBorders>
            <w:vAlign w:val="bottom"/>
          </w:tcPr>
          <w:p>
            <w:pPr>
              <w:spacing w:after="0"/>
              <w:rPr>
                <w:color w:val="auto"/>
                <w:sz w:val="24"/>
                <w:szCs w:val="24"/>
              </w:rPr>
            </w:pPr>
          </w:p>
        </w:tc>
        <w:tc>
          <w:tcPr>
            <w:tcW w:w="10620" w:type="dxa"/>
            <w:tcBorders>
              <w:top w:val="single" w:color="auto" w:sz="8" w:space="0"/>
              <w:right w:val="single" w:color="auto" w:sz="8" w:space="0"/>
            </w:tcBorders>
            <w:vAlign w:val="bottom"/>
          </w:tcPr>
          <w:p>
            <w:pPr>
              <w:spacing w:after="0" w:line="291" w:lineRule="exact"/>
              <w:ind w:left="100"/>
              <w:rPr>
                <w:color w:val="auto"/>
                <w:sz w:val="20"/>
                <w:szCs w:val="20"/>
              </w:rPr>
            </w:pPr>
            <w:r>
              <w:rPr>
                <w:rFonts w:ascii="宋体" w:hAnsi="宋体" w:eastAsia="宋体" w:cs="宋体"/>
                <w:color w:val="333333"/>
                <w:sz w:val="24"/>
                <w:szCs w:val="24"/>
              </w:rPr>
              <w:t>公务员主管部门规定的拟任职位所要求的资格条件；（九）法律、法规规定的其他条件。</w:t>
            </w:r>
            <w:r>
              <w:rPr>
                <w:rFonts w:ascii="Arial" w:hAnsi="Arial" w:eastAsia="Arial" w:cs="Arial"/>
                <w:color w:val="333333"/>
                <w:sz w:val="24"/>
                <w:szCs w:val="24"/>
              </w:rPr>
              <w:t>…</w:t>
            </w:r>
          </w:p>
        </w:tc>
        <w:tc>
          <w:tcPr>
            <w:tcW w:w="1420" w:type="dxa"/>
            <w:tcBorders>
              <w:top w:val="single" w:color="auto" w:sz="8" w:space="0"/>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64"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333333"/>
                <w:sz w:val="24"/>
                <w:szCs w:val="24"/>
              </w:rPr>
              <w:t>3</w:t>
            </w:r>
            <w:r>
              <w:rPr>
                <w:rFonts w:ascii="宋体" w:hAnsi="宋体" w:eastAsia="宋体" w:cs="宋体"/>
                <w:b/>
                <w:bCs/>
                <w:color w:val="333333"/>
                <w:sz w:val="24"/>
                <w:szCs w:val="24"/>
              </w:rPr>
              <w:t>、《事业单位公开招聘人员暂行规定》</w:t>
            </w: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36"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333333"/>
                <w:w w:val="98"/>
                <w:sz w:val="24"/>
                <w:szCs w:val="24"/>
              </w:rPr>
              <w:t>第九条 应聘人员必须具备下列条件：（一）具有中华人民共和国国籍；（二）遵守宪法和法律；</w:t>
            </w: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w w:val="97"/>
                <w:sz w:val="24"/>
                <w:szCs w:val="24"/>
              </w:rPr>
              <w:t>（三）具有良好的品行；（四）岗位所需的专业或技能条件；（五）适应岗位要求的身体条件；（六）</w:t>
            </w: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岗位所需要的其他条件。</w:t>
            </w: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42" w:hRule="atLeast"/>
        </w:trPr>
        <w:tc>
          <w:tcPr>
            <w:tcW w:w="180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10620" w:type="dxa"/>
            <w:tcBorders>
              <w:bottom w:val="single" w:color="auto" w:sz="8" w:space="0"/>
              <w:right w:val="single" w:color="auto" w:sz="8" w:space="0"/>
            </w:tcBorders>
            <w:vAlign w:val="bottom"/>
          </w:tcPr>
          <w:p>
            <w:pPr>
              <w:spacing w:after="0"/>
              <w:rPr>
                <w:color w:val="auto"/>
                <w:sz w:val="3"/>
                <w:szCs w:val="3"/>
              </w:rPr>
            </w:pPr>
          </w:p>
        </w:tc>
        <w:tc>
          <w:tcPr>
            <w:tcW w:w="1420" w:type="dxa"/>
            <w:tcBorders>
              <w:bottom w:val="single" w:color="auto" w:sz="8" w:space="0"/>
              <w:right w:val="single" w:color="auto" w:sz="8" w:space="0"/>
            </w:tcBorders>
            <w:vAlign w:val="bottom"/>
          </w:tcPr>
          <w:p>
            <w:pPr>
              <w:spacing w:after="0"/>
              <w:rPr>
                <w:color w:val="auto"/>
                <w:sz w:val="3"/>
                <w:szCs w:val="3"/>
              </w:rPr>
            </w:pPr>
          </w:p>
        </w:tc>
      </w:tr>
      <w:tr>
        <w:tblPrEx>
          <w:tblCellMar>
            <w:top w:w="0" w:type="dxa"/>
            <w:left w:w="0" w:type="dxa"/>
            <w:bottom w:w="0" w:type="dxa"/>
            <w:right w:w="0" w:type="dxa"/>
          </w:tblCellMar>
        </w:tblPrEx>
        <w:trPr>
          <w:trHeight w:val="314" w:hRule="atLeast"/>
        </w:trPr>
        <w:tc>
          <w:tcPr>
            <w:tcW w:w="1800" w:type="dxa"/>
            <w:tcBorders>
              <w:left w:val="single" w:color="auto" w:sz="8" w:space="0"/>
              <w:right w:val="single" w:color="auto" w:sz="8" w:space="0"/>
            </w:tcBorders>
            <w:vAlign w:val="bottom"/>
          </w:tcPr>
          <w:p>
            <w:pPr>
              <w:spacing w:after="0" w:line="292" w:lineRule="exact"/>
              <w:ind w:left="120"/>
              <w:rPr>
                <w:color w:val="auto"/>
                <w:sz w:val="20"/>
                <w:szCs w:val="20"/>
              </w:rPr>
            </w:pPr>
            <w:r>
              <w:rPr>
                <w:rFonts w:ascii="Times New Roman" w:hAnsi="Times New Roman" w:eastAsia="Times New Roman" w:cs="Times New Roman"/>
                <w:color w:val="333333"/>
                <w:w w:val="97"/>
                <w:sz w:val="24"/>
                <w:szCs w:val="24"/>
              </w:rPr>
              <w:t>23</w:t>
            </w:r>
            <w:r>
              <w:rPr>
                <w:rFonts w:ascii="宋体" w:hAnsi="宋体" w:eastAsia="宋体" w:cs="宋体"/>
                <w:color w:val="333333"/>
                <w:w w:val="97"/>
                <w:sz w:val="24"/>
                <w:szCs w:val="24"/>
              </w:rPr>
              <w:t>、对严重失信</w:t>
            </w:r>
          </w:p>
        </w:tc>
        <w:tc>
          <w:tcPr>
            <w:tcW w:w="1062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333333"/>
                <w:sz w:val="24"/>
                <w:szCs w:val="24"/>
              </w:rPr>
              <w:t>1</w:t>
            </w:r>
            <w:r>
              <w:rPr>
                <w:rFonts w:ascii="宋体" w:hAnsi="宋体" w:eastAsia="宋体" w:cs="宋体"/>
                <w:b/>
                <w:bCs/>
                <w:color w:val="333333"/>
                <w:sz w:val="24"/>
                <w:szCs w:val="24"/>
              </w:rPr>
              <w:t>、《中华人民共和国公司法》</w:t>
            </w: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36" w:hRule="atLeast"/>
        </w:trPr>
        <w:tc>
          <w:tcPr>
            <w:tcW w:w="180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w w:val="97"/>
                <w:sz w:val="24"/>
                <w:szCs w:val="24"/>
              </w:rPr>
              <w:t>的自然人，依法</w:t>
            </w:r>
          </w:p>
        </w:tc>
        <w:tc>
          <w:tcPr>
            <w:tcW w:w="10620" w:type="dxa"/>
            <w:tcBorders>
              <w:right w:val="single" w:color="auto" w:sz="8" w:space="0"/>
            </w:tcBorders>
            <w:vAlign w:val="bottom"/>
          </w:tcPr>
          <w:p>
            <w:pPr>
              <w:spacing w:after="0" w:line="291" w:lineRule="exact"/>
              <w:ind w:left="580"/>
              <w:rPr>
                <w:color w:val="auto"/>
                <w:sz w:val="20"/>
                <w:szCs w:val="20"/>
              </w:rPr>
            </w:pPr>
            <w:r>
              <w:rPr>
                <w:rFonts w:ascii="宋体" w:hAnsi="宋体" w:eastAsia="宋体" w:cs="宋体"/>
                <w:color w:val="333333"/>
                <w:sz w:val="24"/>
                <w:szCs w:val="24"/>
              </w:rPr>
              <w:t>第一百四十六条 有下列情形之一的，不得担任公司的董事、监事、高级管理人员：</w:t>
            </w:r>
            <w:r>
              <w:rPr>
                <w:rFonts w:ascii="Arial" w:hAnsi="Arial" w:eastAsia="Arial" w:cs="Arial"/>
                <w:color w:val="333333"/>
                <w:sz w:val="24"/>
                <w:szCs w:val="24"/>
              </w:rPr>
              <w:t>…</w:t>
            </w:r>
            <w:r>
              <w:rPr>
                <w:rFonts w:ascii="宋体" w:hAnsi="宋体" w:eastAsia="宋体" w:cs="宋体"/>
                <w:color w:val="333333"/>
                <w:sz w:val="24"/>
                <w:szCs w:val="24"/>
              </w:rPr>
              <w:t>（五）个</w:t>
            </w: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限制担任上市</w:t>
            </w:r>
          </w:p>
        </w:tc>
        <w:tc>
          <w:tcPr>
            <w:tcW w:w="10620" w:type="dxa"/>
            <w:tcBorders>
              <w:right w:val="single" w:color="auto" w:sz="8" w:space="0"/>
            </w:tcBorders>
            <w:vAlign w:val="bottom"/>
          </w:tcPr>
          <w:p>
            <w:pPr>
              <w:spacing w:after="0" w:line="291" w:lineRule="exact"/>
              <w:ind w:left="100"/>
              <w:rPr>
                <w:color w:val="auto"/>
                <w:sz w:val="20"/>
                <w:szCs w:val="20"/>
              </w:rPr>
            </w:pPr>
            <w:r>
              <w:rPr>
                <w:rFonts w:ascii="宋体" w:hAnsi="宋体" w:eastAsia="宋体" w:cs="宋体"/>
                <w:color w:val="333333"/>
                <w:sz w:val="24"/>
                <w:szCs w:val="24"/>
              </w:rPr>
              <w:t>人所负数额较大的债务到期未清偿。</w:t>
            </w:r>
            <w:r>
              <w:rPr>
                <w:rFonts w:ascii="Arial" w:hAnsi="Arial" w:eastAsia="Arial" w:cs="Arial"/>
                <w:color w:val="333333"/>
                <w:sz w:val="24"/>
                <w:szCs w:val="24"/>
              </w:rPr>
              <w:t>…</w:t>
            </w: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64" w:hRule="atLeast"/>
        </w:trPr>
        <w:tc>
          <w:tcPr>
            <w:tcW w:w="180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公司、债券公</w:t>
            </w:r>
          </w:p>
        </w:tc>
        <w:tc>
          <w:tcPr>
            <w:tcW w:w="1062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333333"/>
                <w:sz w:val="24"/>
                <w:szCs w:val="24"/>
              </w:rPr>
              <w:t>2</w:t>
            </w:r>
            <w:r>
              <w:rPr>
                <w:rFonts w:ascii="宋体" w:hAnsi="宋体" w:eastAsia="宋体" w:cs="宋体"/>
                <w:b/>
                <w:bCs/>
                <w:color w:val="333333"/>
                <w:sz w:val="24"/>
                <w:szCs w:val="24"/>
              </w:rPr>
              <w:t>、《证券业从业人员资格管理办法》</w:t>
            </w: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36" w:hRule="atLeast"/>
        </w:trPr>
        <w:tc>
          <w:tcPr>
            <w:tcW w:w="180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w w:val="97"/>
                <w:sz w:val="24"/>
                <w:szCs w:val="24"/>
              </w:rPr>
              <w:t>司、基金管理公</w:t>
            </w:r>
          </w:p>
        </w:tc>
        <w:tc>
          <w:tcPr>
            <w:tcW w:w="10620" w:type="dxa"/>
            <w:tcBorders>
              <w:right w:val="single" w:color="auto" w:sz="8" w:space="0"/>
            </w:tcBorders>
            <w:vAlign w:val="bottom"/>
          </w:tcPr>
          <w:p>
            <w:pPr>
              <w:spacing w:after="0" w:line="291" w:lineRule="exact"/>
              <w:ind w:left="580"/>
              <w:rPr>
                <w:color w:val="auto"/>
                <w:sz w:val="20"/>
                <w:szCs w:val="20"/>
              </w:rPr>
            </w:pPr>
            <w:r>
              <w:rPr>
                <w:rFonts w:ascii="宋体" w:hAnsi="宋体" w:eastAsia="宋体" w:cs="宋体"/>
                <w:color w:val="333333"/>
                <w:sz w:val="24"/>
                <w:szCs w:val="24"/>
              </w:rPr>
              <w:t>第十条 取得从业资格的人员，符合下列条件的，可以通过机构申请执业证书：</w:t>
            </w:r>
            <w:r>
              <w:rPr>
                <w:rFonts w:ascii="Arial" w:hAnsi="Arial" w:eastAsia="Arial" w:cs="Arial"/>
                <w:color w:val="333333"/>
                <w:sz w:val="24"/>
                <w:szCs w:val="24"/>
              </w:rPr>
              <w:t>…</w:t>
            </w:r>
            <w:r>
              <w:rPr>
                <w:rFonts w:ascii="宋体" w:hAnsi="宋体" w:eastAsia="宋体" w:cs="宋体"/>
                <w:color w:val="333333"/>
                <w:sz w:val="24"/>
                <w:szCs w:val="24"/>
              </w:rPr>
              <w:t>（五）品行端</w:t>
            </w: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w w:val="97"/>
                <w:sz w:val="24"/>
                <w:szCs w:val="24"/>
              </w:rPr>
              <w:t>司、期货公司董</w:t>
            </w:r>
          </w:p>
        </w:tc>
        <w:tc>
          <w:tcPr>
            <w:tcW w:w="10620" w:type="dxa"/>
            <w:tcBorders>
              <w:right w:val="single" w:color="auto" w:sz="8" w:space="0"/>
            </w:tcBorders>
            <w:vAlign w:val="bottom"/>
          </w:tcPr>
          <w:p>
            <w:pPr>
              <w:spacing w:after="0" w:line="291" w:lineRule="exact"/>
              <w:ind w:left="100"/>
              <w:rPr>
                <w:color w:val="auto"/>
                <w:sz w:val="20"/>
                <w:szCs w:val="20"/>
              </w:rPr>
            </w:pPr>
            <w:r>
              <w:rPr>
                <w:rFonts w:ascii="宋体" w:hAnsi="宋体" w:eastAsia="宋体" w:cs="宋体"/>
                <w:color w:val="333333"/>
                <w:sz w:val="24"/>
                <w:szCs w:val="24"/>
              </w:rPr>
              <w:t>正，具有良好的职业道德；</w:t>
            </w:r>
            <w:r>
              <w:rPr>
                <w:rFonts w:ascii="Arial" w:hAnsi="Arial" w:eastAsia="Arial" w:cs="Arial"/>
                <w:color w:val="333333"/>
                <w:sz w:val="24"/>
                <w:szCs w:val="24"/>
              </w:rPr>
              <w:t>…</w:t>
            </w: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64" w:hRule="atLeast"/>
        </w:trPr>
        <w:tc>
          <w:tcPr>
            <w:tcW w:w="180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w w:val="97"/>
                <w:sz w:val="24"/>
                <w:szCs w:val="24"/>
              </w:rPr>
              <w:t>事、监事和高级</w:t>
            </w:r>
          </w:p>
        </w:tc>
        <w:tc>
          <w:tcPr>
            <w:tcW w:w="1062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333333"/>
                <w:sz w:val="24"/>
                <w:szCs w:val="24"/>
              </w:rPr>
              <w:t>3</w:t>
            </w:r>
            <w:r>
              <w:rPr>
                <w:rFonts w:ascii="宋体" w:hAnsi="宋体" w:eastAsia="宋体" w:cs="宋体"/>
                <w:b/>
                <w:bCs/>
                <w:color w:val="333333"/>
                <w:sz w:val="24"/>
                <w:szCs w:val="24"/>
              </w:rPr>
              <w:t>、《期货从业人员管理办法》</w:t>
            </w: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36" w:hRule="atLeast"/>
        </w:trPr>
        <w:tc>
          <w:tcPr>
            <w:tcW w:w="180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w w:val="97"/>
                <w:sz w:val="24"/>
                <w:szCs w:val="24"/>
              </w:rPr>
              <w:t>管理人员等，对</w:t>
            </w:r>
          </w:p>
        </w:tc>
        <w:tc>
          <w:tcPr>
            <w:tcW w:w="1062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333333"/>
                <w:sz w:val="24"/>
                <w:szCs w:val="24"/>
              </w:rPr>
              <w:t>第十条 机构任用具有从业资格考试合格证明且符合下列条件的人员从事期货业务的，应当为其</w:t>
            </w:r>
          </w:p>
        </w:tc>
        <w:tc>
          <w:tcPr>
            <w:tcW w:w="142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证监会</w:t>
            </w:r>
          </w:p>
        </w:tc>
      </w:tr>
      <w:tr>
        <w:tblPrEx>
          <w:tblCellMar>
            <w:top w:w="0" w:type="dxa"/>
            <w:left w:w="0" w:type="dxa"/>
            <w:bottom w:w="0" w:type="dxa"/>
            <w:right w:w="0" w:type="dxa"/>
          </w:tblCellMar>
        </w:tblPrEx>
        <w:trPr>
          <w:trHeight w:val="353" w:hRule="atLeast"/>
        </w:trPr>
        <w:tc>
          <w:tcPr>
            <w:tcW w:w="180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w w:val="97"/>
                <w:sz w:val="24"/>
                <w:szCs w:val="24"/>
              </w:rPr>
              <w:t>其证券、基金、</w:t>
            </w:r>
          </w:p>
        </w:tc>
        <w:tc>
          <w:tcPr>
            <w:tcW w:w="10620" w:type="dxa"/>
            <w:tcBorders>
              <w:right w:val="single" w:color="auto" w:sz="8" w:space="0"/>
            </w:tcBorders>
            <w:vAlign w:val="bottom"/>
          </w:tcPr>
          <w:p>
            <w:pPr>
              <w:spacing w:after="0" w:line="291" w:lineRule="exact"/>
              <w:ind w:left="100"/>
              <w:rPr>
                <w:color w:val="auto"/>
                <w:sz w:val="20"/>
                <w:szCs w:val="20"/>
              </w:rPr>
            </w:pPr>
            <w:r>
              <w:rPr>
                <w:rFonts w:ascii="宋体" w:hAnsi="宋体" w:eastAsia="宋体" w:cs="宋体"/>
                <w:color w:val="333333"/>
                <w:sz w:val="24"/>
                <w:szCs w:val="24"/>
              </w:rPr>
              <w:t>办理从业资格申请：（一）品行端正，具有良好的职业道德；</w:t>
            </w:r>
            <w:r>
              <w:rPr>
                <w:rFonts w:ascii="Arial" w:hAnsi="Arial" w:eastAsia="Arial" w:cs="Arial"/>
                <w:color w:val="333333"/>
                <w:sz w:val="24"/>
                <w:szCs w:val="24"/>
              </w:rPr>
              <w:t>…</w:t>
            </w: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62" w:hRule="atLeast"/>
        </w:trPr>
        <w:tc>
          <w:tcPr>
            <w:tcW w:w="180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期货从业资格</w:t>
            </w:r>
          </w:p>
        </w:tc>
        <w:tc>
          <w:tcPr>
            <w:tcW w:w="1062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333333"/>
                <w:sz w:val="24"/>
                <w:szCs w:val="24"/>
              </w:rPr>
              <w:t>4</w:t>
            </w:r>
            <w:r>
              <w:rPr>
                <w:rFonts w:ascii="宋体" w:hAnsi="宋体" w:eastAsia="宋体" w:cs="宋体"/>
                <w:b/>
                <w:bCs/>
                <w:color w:val="333333"/>
                <w:sz w:val="24"/>
                <w:szCs w:val="24"/>
              </w:rPr>
              <w:t>、《私募投资基金监督管理暂行办法》</w:t>
            </w: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39" w:hRule="atLeast"/>
        </w:trPr>
        <w:tc>
          <w:tcPr>
            <w:tcW w:w="180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w w:val="97"/>
                <w:sz w:val="24"/>
                <w:szCs w:val="24"/>
              </w:rPr>
              <w:t>申请从严审核，</w:t>
            </w:r>
          </w:p>
        </w:tc>
        <w:tc>
          <w:tcPr>
            <w:tcW w:w="1062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333333"/>
                <w:sz w:val="24"/>
                <w:szCs w:val="24"/>
              </w:rPr>
              <w:t>第四条 私募基金管理人和从事私募基金托管业务的机构（以下简称私募基金托管人）管理、运</w:t>
            </w: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48" w:hRule="atLeast"/>
        </w:trPr>
        <w:tc>
          <w:tcPr>
            <w:tcW w:w="180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w w:val="97"/>
                <w:sz w:val="24"/>
                <w:szCs w:val="24"/>
              </w:rPr>
              <w:t>对已成为证券、</w:t>
            </w:r>
          </w:p>
        </w:tc>
        <w:tc>
          <w:tcPr>
            <w:tcW w:w="1062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用私募基金财产，从事私募基金销售业务的机构（以下简称私募基金销售机构）及其他私募服务机</w:t>
            </w: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53" w:hRule="atLeast"/>
        </w:trPr>
        <w:tc>
          <w:tcPr>
            <w:tcW w:w="180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w w:val="97"/>
                <w:sz w:val="24"/>
                <w:szCs w:val="24"/>
              </w:rPr>
              <w:t>基金、期货从业</w:t>
            </w:r>
          </w:p>
        </w:tc>
        <w:tc>
          <w:tcPr>
            <w:tcW w:w="1062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构从事私募基金服务活动，应当恪尽职守，履行诚实信用、谨慎勤勉的义务。</w:t>
            </w: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人员的相关主</w:t>
            </w:r>
          </w:p>
        </w:tc>
        <w:tc>
          <w:tcPr>
            <w:tcW w:w="1062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333333"/>
                <w:sz w:val="24"/>
                <w:szCs w:val="24"/>
              </w:rPr>
              <w:t>私募基金从业人员应当遵守法律、行政法规，恪守职业道德和行为规范。</w:t>
            </w: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体予以关注。</w:t>
            </w:r>
          </w:p>
        </w:tc>
        <w:tc>
          <w:tcPr>
            <w:tcW w:w="10620" w:type="dxa"/>
            <w:tcBorders>
              <w:right w:val="single" w:color="auto" w:sz="8" w:space="0"/>
            </w:tcBorders>
            <w:vAlign w:val="bottom"/>
          </w:tcPr>
          <w:p>
            <w:pPr>
              <w:spacing w:after="0"/>
              <w:rPr>
                <w:color w:val="auto"/>
                <w:sz w:val="24"/>
                <w:szCs w:val="24"/>
              </w:rPr>
            </w:pP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42" w:hRule="atLeast"/>
        </w:trPr>
        <w:tc>
          <w:tcPr>
            <w:tcW w:w="180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10620" w:type="dxa"/>
            <w:tcBorders>
              <w:bottom w:val="single" w:color="auto" w:sz="8" w:space="0"/>
              <w:right w:val="single" w:color="auto" w:sz="8" w:space="0"/>
            </w:tcBorders>
            <w:vAlign w:val="bottom"/>
          </w:tcPr>
          <w:p>
            <w:pPr>
              <w:spacing w:after="0"/>
              <w:rPr>
                <w:color w:val="auto"/>
                <w:sz w:val="3"/>
                <w:szCs w:val="3"/>
              </w:rPr>
            </w:pPr>
          </w:p>
        </w:tc>
        <w:tc>
          <w:tcPr>
            <w:tcW w:w="1420" w:type="dxa"/>
            <w:tcBorders>
              <w:bottom w:val="single" w:color="auto" w:sz="8" w:space="0"/>
              <w:right w:val="single" w:color="auto" w:sz="8" w:space="0"/>
            </w:tcBorders>
            <w:vAlign w:val="bottom"/>
          </w:tcPr>
          <w:p>
            <w:pPr>
              <w:spacing w:after="0"/>
              <w:rPr>
                <w:color w:val="auto"/>
                <w:sz w:val="3"/>
                <w:szCs w:val="3"/>
              </w:rPr>
            </w:pPr>
          </w:p>
        </w:tc>
      </w:tr>
      <w:tr>
        <w:tblPrEx>
          <w:tblCellMar>
            <w:top w:w="0" w:type="dxa"/>
            <w:left w:w="0" w:type="dxa"/>
            <w:bottom w:w="0" w:type="dxa"/>
            <w:right w:w="0" w:type="dxa"/>
          </w:tblCellMar>
        </w:tblPrEx>
        <w:trPr>
          <w:trHeight w:val="312" w:hRule="atLeast"/>
        </w:trPr>
        <w:tc>
          <w:tcPr>
            <w:tcW w:w="1800" w:type="dxa"/>
            <w:tcBorders>
              <w:left w:val="single" w:color="auto" w:sz="8" w:space="0"/>
              <w:right w:val="single" w:color="auto" w:sz="8" w:space="0"/>
            </w:tcBorders>
            <w:vAlign w:val="bottom"/>
          </w:tcPr>
          <w:p>
            <w:pPr>
              <w:spacing w:after="0" w:line="292" w:lineRule="exact"/>
              <w:ind w:left="120"/>
              <w:rPr>
                <w:color w:val="auto"/>
                <w:sz w:val="20"/>
                <w:szCs w:val="20"/>
              </w:rPr>
            </w:pPr>
            <w:r>
              <w:rPr>
                <w:rFonts w:ascii="Times New Roman" w:hAnsi="Times New Roman" w:eastAsia="Times New Roman" w:cs="Times New Roman"/>
                <w:color w:val="333333"/>
                <w:w w:val="97"/>
                <w:sz w:val="24"/>
                <w:szCs w:val="24"/>
              </w:rPr>
              <w:t>24</w:t>
            </w:r>
            <w:r>
              <w:rPr>
                <w:rFonts w:ascii="宋体" w:hAnsi="宋体" w:eastAsia="宋体" w:cs="宋体"/>
                <w:color w:val="333333"/>
                <w:w w:val="97"/>
                <w:sz w:val="24"/>
                <w:szCs w:val="24"/>
              </w:rPr>
              <w:t>、对失信主体</w:t>
            </w:r>
          </w:p>
        </w:tc>
        <w:tc>
          <w:tcPr>
            <w:tcW w:w="1062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333333"/>
                <w:sz w:val="24"/>
                <w:szCs w:val="24"/>
              </w:rPr>
              <w:t>1</w:t>
            </w:r>
            <w:r>
              <w:rPr>
                <w:rFonts w:ascii="宋体" w:hAnsi="宋体" w:eastAsia="宋体" w:cs="宋体"/>
                <w:b/>
                <w:bCs/>
                <w:color w:val="333333"/>
                <w:sz w:val="24"/>
                <w:szCs w:val="24"/>
              </w:rPr>
              <w:t>、《保险公司董事、监事和高级管理人员任职资格管理规定》</w:t>
            </w: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36" w:hRule="atLeast"/>
        </w:trPr>
        <w:tc>
          <w:tcPr>
            <w:tcW w:w="180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担任保险公司</w:t>
            </w:r>
          </w:p>
        </w:tc>
        <w:tc>
          <w:tcPr>
            <w:tcW w:w="1062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333333"/>
                <w:sz w:val="24"/>
                <w:szCs w:val="24"/>
              </w:rPr>
              <w:t>第七条 保险机构董事、监事和高级管理人员应当具有诚实信用的品行、良好的合规经营意识和</w:t>
            </w:r>
          </w:p>
        </w:tc>
        <w:tc>
          <w:tcPr>
            <w:tcW w:w="142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保监会</w:t>
            </w: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w w:val="97"/>
                <w:sz w:val="24"/>
                <w:szCs w:val="24"/>
              </w:rPr>
              <w:t>的董事、监事、</w:t>
            </w:r>
          </w:p>
        </w:tc>
        <w:tc>
          <w:tcPr>
            <w:tcW w:w="1062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履行职务必需的经营管理能力。</w:t>
            </w:r>
          </w:p>
        </w:tc>
        <w:tc>
          <w:tcPr>
            <w:tcW w:w="142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40" w:hRule="atLeast"/>
        </w:trPr>
        <w:tc>
          <w:tcPr>
            <w:tcW w:w="180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10620" w:type="dxa"/>
            <w:tcBorders>
              <w:bottom w:val="single" w:color="auto" w:sz="8" w:space="0"/>
              <w:right w:val="single" w:color="auto" w:sz="8" w:space="0"/>
            </w:tcBorders>
            <w:vAlign w:val="bottom"/>
          </w:tcPr>
          <w:p>
            <w:pPr>
              <w:spacing w:after="0"/>
              <w:rPr>
                <w:color w:val="auto"/>
                <w:sz w:val="3"/>
                <w:szCs w:val="3"/>
              </w:rPr>
            </w:pPr>
          </w:p>
        </w:tc>
        <w:tc>
          <w:tcPr>
            <w:tcW w:w="1420" w:type="dxa"/>
            <w:tcBorders>
              <w:bottom w:val="single" w:color="auto" w:sz="8" w:space="0"/>
              <w:right w:val="single" w:color="auto" w:sz="8" w:space="0"/>
            </w:tcBorders>
            <w:vAlign w:val="bottom"/>
          </w:tcPr>
          <w:p>
            <w:pPr>
              <w:spacing w:after="0"/>
              <w:rPr>
                <w:color w:val="auto"/>
                <w:sz w:val="3"/>
                <w:szCs w:val="3"/>
              </w:rPr>
            </w:pPr>
          </w:p>
        </w:tc>
      </w:tr>
    </w:tbl>
    <w:p>
      <w:pPr>
        <w:spacing w:after="0" w:line="200" w:lineRule="exact"/>
        <w:rPr>
          <w:color w:val="auto"/>
          <w:sz w:val="20"/>
          <w:szCs w:val="20"/>
        </w:rPr>
      </w:pPr>
    </w:p>
    <w:p>
      <w:pPr>
        <w:sectPr>
          <w:pgSz w:w="16840" w:h="11906" w:orient="landscape"/>
          <w:pgMar w:top="1440" w:right="1440" w:bottom="808" w:left="1440" w:header="0" w:footer="0" w:gutter="0"/>
          <w:cols w:equalWidth="0" w:num="1">
            <w:col w:w="13958"/>
          </w:cols>
        </w:sectPr>
      </w:pPr>
    </w:p>
    <w:p>
      <w:pPr>
        <w:spacing w:after="0" w:line="198" w:lineRule="exact"/>
        <w:rPr>
          <w:color w:val="auto"/>
          <w:sz w:val="20"/>
          <w:szCs w:val="20"/>
        </w:rPr>
      </w:pPr>
    </w:p>
    <w:p>
      <w:pPr>
        <w:spacing w:after="0"/>
        <w:ind w:right="-1"/>
        <w:jc w:val="center"/>
        <w:rPr>
          <w:color w:val="auto"/>
          <w:sz w:val="20"/>
          <w:szCs w:val="20"/>
        </w:rPr>
      </w:pPr>
      <w:r>
        <w:rPr>
          <w:rFonts w:ascii="Times New Roman" w:hAnsi="Times New Roman" w:eastAsia="Times New Roman" w:cs="Times New Roman"/>
          <w:color w:val="auto"/>
          <w:sz w:val="24"/>
          <w:szCs w:val="24"/>
        </w:rPr>
        <w:t>17</w:t>
      </w:r>
    </w:p>
    <w:p>
      <w:pPr>
        <w:sectPr>
          <w:type w:val="continuous"/>
          <w:pgSz w:w="16840" w:h="11906" w:orient="landscape"/>
          <w:pgMar w:top="1440" w:right="1440" w:bottom="808" w:left="1440" w:header="0" w:footer="0" w:gutter="0"/>
          <w:cols w:equalWidth="0" w:num="1">
            <w:col w:w="13958"/>
          </w:cols>
        </w:sectPr>
      </w:pPr>
    </w:p>
    <w:p>
      <w:pPr>
        <w:spacing w:after="0" w:line="298" w:lineRule="exact"/>
        <w:rPr>
          <w:color w:val="auto"/>
          <w:sz w:val="20"/>
          <w:szCs w:val="20"/>
        </w:rPr>
      </w:pPr>
      <w:bookmarkStart w:id="16" w:name="page24"/>
      <w:bookmarkEnd w:id="16"/>
    </w:p>
    <w:tbl>
      <w:tblPr>
        <w:tblStyle w:val="2"/>
        <w:tblW w:w="0" w:type="auto"/>
        <w:tblInd w:w="70" w:type="dxa"/>
        <w:tblLayout w:type="fixed"/>
        <w:tblCellMar>
          <w:top w:w="0" w:type="dxa"/>
          <w:left w:w="0" w:type="dxa"/>
          <w:bottom w:w="0" w:type="dxa"/>
          <w:right w:w="0" w:type="dxa"/>
        </w:tblCellMar>
      </w:tblPr>
      <w:tblGrid>
        <w:gridCol w:w="1800"/>
        <w:gridCol w:w="10620"/>
        <w:gridCol w:w="1420"/>
        <w:gridCol w:w="360"/>
      </w:tblGrid>
      <w:tr>
        <w:tblPrEx>
          <w:tblCellMar>
            <w:top w:w="0" w:type="dxa"/>
            <w:left w:w="0" w:type="dxa"/>
            <w:bottom w:w="0" w:type="dxa"/>
            <w:right w:w="0" w:type="dxa"/>
          </w:tblCellMar>
        </w:tblPrEx>
        <w:trPr>
          <w:trHeight w:val="319" w:hRule="atLeast"/>
        </w:trPr>
        <w:tc>
          <w:tcPr>
            <w:tcW w:w="1800" w:type="dxa"/>
            <w:tcBorders>
              <w:top w:val="single" w:color="auto" w:sz="8" w:space="0"/>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高级管理人员</w:t>
            </w:r>
          </w:p>
        </w:tc>
        <w:tc>
          <w:tcPr>
            <w:tcW w:w="10620" w:type="dxa"/>
            <w:tcBorders>
              <w:top w:val="single" w:color="auto" w:sz="8" w:space="0"/>
              <w:right w:val="single" w:color="auto" w:sz="8" w:space="0"/>
            </w:tcBorders>
            <w:vAlign w:val="bottom"/>
          </w:tcPr>
          <w:p>
            <w:pPr>
              <w:spacing w:after="0"/>
              <w:rPr>
                <w:color w:val="auto"/>
                <w:sz w:val="24"/>
                <w:szCs w:val="24"/>
              </w:rPr>
            </w:pPr>
          </w:p>
        </w:tc>
        <w:tc>
          <w:tcPr>
            <w:tcW w:w="1420" w:type="dxa"/>
            <w:tcBorders>
              <w:top w:val="single" w:color="auto" w:sz="8" w:space="0"/>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w w:val="97"/>
                <w:sz w:val="24"/>
                <w:szCs w:val="24"/>
              </w:rPr>
              <w:t>依法予以限制。</w:t>
            </w:r>
          </w:p>
        </w:tc>
        <w:tc>
          <w:tcPr>
            <w:tcW w:w="10620" w:type="dxa"/>
            <w:tcBorders>
              <w:right w:val="single" w:color="auto" w:sz="8" w:space="0"/>
            </w:tcBorders>
            <w:vAlign w:val="bottom"/>
          </w:tcPr>
          <w:p>
            <w:pPr>
              <w:spacing w:after="0"/>
              <w:rPr>
                <w:color w:val="auto"/>
                <w:sz w:val="24"/>
                <w:szCs w:val="24"/>
              </w:rPr>
            </w:pP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41" w:hRule="atLeast"/>
        </w:trPr>
        <w:tc>
          <w:tcPr>
            <w:tcW w:w="180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10620" w:type="dxa"/>
            <w:tcBorders>
              <w:bottom w:val="single" w:color="auto" w:sz="8" w:space="0"/>
              <w:right w:val="single" w:color="auto" w:sz="8" w:space="0"/>
            </w:tcBorders>
            <w:vAlign w:val="bottom"/>
          </w:tcPr>
          <w:p>
            <w:pPr>
              <w:spacing w:after="0"/>
              <w:rPr>
                <w:color w:val="auto"/>
                <w:sz w:val="3"/>
                <w:szCs w:val="3"/>
              </w:rPr>
            </w:pPr>
          </w:p>
        </w:tc>
        <w:tc>
          <w:tcPr>
            <w:tcW w:w="1420" w:type="dxa"/>
            <w:tcBorders>
              <w:bottom w:val="single" w:color="auto" w:sz="8" w:space="0"/>
              <w:right w:val="single" w:color="auto" w:sz="8" w:space="0"/>
            </w:tcBorders>
            <w:vAlign w:val="bottom"/>
          </w:tcPr>
          <w:p>
            <w:pPr>
              <w:spacing w:after="0"/>
              <w:rPr>
                <w:color w:val="auto"/>
                <w:sz w:val="3"/>
                <w:szCs w:val="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13"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333333"/>
                <w:sz w:val="24"/>
                <w:szCs w:val="24"/>
              </w:rPr>
              <w:t>1</w:t>
            </w:r>
            <w:r>
              <w:rPr>
                <w:rFonts w:ascii="宋体" w:hAnsi="宋体" w:eastAsia="宋体" w:cs="宋体"/>
                <w:b/>
                <w:bCs/>
                <w:color w:val="333333"/>
                <w:sz w:val="24"/>
                <w:szCs w:val="24"/>
              </w:rPr>
              <w:t>、《国务院办公厅关于运用大数据加强对市场主体服务和监管的若干意见》</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36"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91" w:lineRule="exact"/>
              <w:jc w:val="right"/>
              <w:rPr>
                <w:color w:val="auto"/>
                <w:sz w:val="20"/>
                <w:szCs w:val="20"/>
              </w:rPr>
            </w:pPr>
            <w:r>
              <w:rPr>
                <w:rFonts w:ascii="宋体" w:hAnsi="宋体" w:eastAsia="宋体" w:cs="宋体"/>
                <w:color w:val="333333"/>
                <w:sz w:val="24"/>
                <w:szCs w:val="24"/>
              </w:rPr>
              <w:t>第十九条 大力推进市场主体信息公示。</w:t>
            </w:r>
            <w:r>
              <w:rPr>
                <w:rFonts w:ascii="Arial" w:hAnsi="Arial" w:eastAsia="Arial" w:cs="Arial"/>
                <w:color w:val="333333"/>
                <w:sz w:val="24"/>
                <w:szCs w:val="24"/>
              </w:rPr>
              <w:t>…</w:t>
            </w:r>
            <w:r>
              <w:rPr>
                <w:rFonts w:ascii="宋体" w:hAnsi="宋体" w:eastAsia="宋体" w:cs="宋体"/>
                <w:color w:val="333333"/>
                <w:sz w:val="24"/>
                <w:szCs w:val="24"/>
              </w:rPr>
              <w:t>建设</w:t>
            </w:r>
            <w:r>
              <w:rPr>
                <w:rFonts w:ascii="Arial" w:hAnsi="Arial" w:eastAsia="Arial" w:cs="Arial"/>
                <w:color w:val="333333"/>
                <w:sz w:val="24"/>
                <w:szCs w:val="24"/>
              </w:rPr>
              <w:t>“</w:t>
            </w:r>
            <w:r>
              <w:rPr>
                <w:rFonts w:ascii="宋体" w:hAnsi="宋体" w:eastAsia="宋体" w:cs="宋体"/>
                <w:color w:val="333333"/>
                <w:sz w:val="24"/>
                <w:szCs w:val="24"/>
              </w:rPr>
              <w:t>信用中国</w:t>
            </w:r>
            <w:r>
              <w:rPr>
                <w:rFonts w:ascii="Arial" w:hAnsi="Arial" w:eastAsia="Arial" w:cs="Arial"/>
                <w:color w:val="333333"/>
                <w:sz w:val="24"/>
                <w:szCs w:val="24"/>
              </w:rPr>
              <w:t>”</w:t>
            </w:r>
            <w:r>
              <w:rPr>
                <w:rFonts w:ascii="宋体" w:hAnsi="宋体" w:eastAsia="宋体" w:cs="宋体"/>
                <w:color w:val="333333"/>
                <w:sz w:val="24"/>
                <w:szCs w:val="24"/>
              </w:rPr>
              <w:t>网站，归集整合各地区、各部门掌</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67" w:hRule="atLeast"/>
        </w:trPr>
        <w:tc>
          <w:tcPr>
            <w:tcW w:w="1800" w:type="dxa"/>
            <w:tcBorders>
              <w:left w:val="single" w:color="auto" w:sz="8" w:space="0"/>
              <w:right w:val="single" w:color="auto" w:sz="8" w:space="0"/>
            </w:tcBorders>
            <w:vAlign w:val="bottom"/>
          </w:tcPr>
          <w:p>
            <w:pPr>
              <w:spacing w:after="0" w:line="292" w:lineRule="exact"/>
              <w:ind w:left="120"/>
              <w:rPr>
                <w:color w:val="auto"/>
                <w:sz w:val="20"/>
                <w:szCs w:val="20"/>
              </w:rPr>
            </w:pPr>
            <w:r>
              <w:rPr>
                <w:rFonts w:ascii="Times New Roman" w:hAnsi="Times New Roman" w:eastAsia="Times New Roman" w:cs="Times New Roman"/>
                <w:color w:val="333333"/>
                <w:sz w:val="24"/>
                <w:szCs w:val="24"/>
              </w:rPr>
              <w:t>25</w:t>
            </w:r>
            <w:r>
              <w:rPr>
                <w:rFonts w:ascii="宋体" w:hAnsi="宋体" w:eastAsia="宋体" w:cs="宋体"/>
                <w:color w:val="333333"/>
                <w:sz w:val="24"/>
                <w:szCs w:val="24"/>
              </w:rPr>
              <w:t>、通过</w:t>
            </w:r>
            <w:r>
              <w:rPr>
                <w:rFonts w:ascii="Arial" w:hAnsi="Arial" w:eastAsia="Arial" w:cs="Arial"/>
                <w:color w:val="333333"/>
                <w:sz w:val="24"/>
                <w:szCs w:val="24"/>
              </w:rPr>
              <w:t>“</w:t>
            </w:r>
            <w:r>
              <w:rPr>
                <w:rFonts w:ascii="宋体" w:hAnsi="宋体" w:eastAsia="宋体" w:cs="宋体"/>
                <w:color w:val="333333"/>
                <w:sz w:val="24"/>
                <w:szCs w:val="24"/>
              </w:rPr>
              <w:t>信用</w:t>
            </w:r>
          </w:p>
        </w:tc>
        <w:tc>
          <w:tcPr>
            <w:tcW w:w="10620" w:type="dxa"/>
            <w:tcBorders>
              <w:right w:val="single" w:color="auto" w:sz="8" w:space="0"/>
            </w:tcBorders>
            <w:vAlign w:val="bottom"/>
          </w:tcPr>
          <w:p>
            <w:pPr>
              <w:spacing w:after="0" w:line="274" w:lineRule="exact"/>
              <w:jc w:val="right"/>
              <w:rPr>
                <w:color w:val="auto"/>
                <w:sz w:val="20"/>
                <w:szCs w:val="20"/>
              </w:rPr>
            </w:pPr>
            <w:r>
              <w:rPr>
                <w:rFonts w:ascii="宋体" w:hAnsi="宋体" w:eastAsia="宋体" w:cs="宋体"/>
                <w:color w:val="333333"/>
                <w:sz w:val="24"/>
                <w:szCs w:val="24"/>
              </w:rPr>
              <w:t>握的应向社会公开的信用信息，实现信用信息一站式查询，方便社会了解市场主体信用状况。各级</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34" w:hRule="atLeast"/>
        </w:trPr>
        <w:tc>
          <w:tcPr>
            <w:tcW w:w="1800" w:type="dxa"/>
            <w:tcBorders>
              <w:left w:val="single" w:color="auto" w:sz="8" w:space="0"/>
              <w:right w:val="single" w:color="auto" w:sz="8" w:space="0"/>
            </w:tcBorders>
            <w:vAlign w:val="bottom"/>
          </w:tcPr>
          <w:p>
            <w:pPr>
              <w:spacing w:after="0" w:line="291" w:lineRule="exact"/>
              <w:ind w:left="120"/>
              <w:rPr>
                <w:color w:val="auto"/>
                <w:sz w:val="20"/>
                <w:szCs w:val="20"/>
              </w:rPr>
            </w:pPr>
            <w:r>
              <w:rPr>
                <w:rFonts w:ascii="宋体" w:hAnsi="宋体" w:eastAsia="宋体" w:cs="宋体"/>
                <w:color w:val="333333"/>
                <w:sz w:val="24"/>
                <w:szCs w:val="24"/>
              </w:rPr>
              <w:t>中国</w:t>
            </w:r>
            <w:r>
              <w:rPr>
                <w:rFonts w:ascii="Arial" w:hAnsi="Arial" w:eastAsia="Arial" w:cs="Arial"/>
                <w:color w:val="333333"/>
                <w:sz w:val="24"/>
                <w:szCs w:val="24"/>
              </w:rPr>
              <w:t>”</w:t>
            </w:r>
            <w:r>
              <w:rPr>
                <w:rFonts w:ascii="宋体" w:hAnsi="宋体" w:eastAsia="宋体" w:cs="宋体"/>
                <w:color w:val="333333"/>
                <w:sz w:val="24"/>
                <w:szCs w:val="24"/>
              </w:rPr>
              <w:t>、</w:t>
            </w:r>
            <w:r>
              <w:rPr>
                <w:rFonts w:ascii="Arial" w:hAnsi="Arial" w:eastAsia="Arial" w:cs="Arial"/>
                <w:color w:val="333333"/>
                <w:sz w:val="24"/>
                <w:szCs w:val="24"/>
              </w:rPr>
              <w:t>“</w:t>
            </w:r>
            <w:r>
              <w:rPr>
                <w:rFonts w:ascii="宋体" w:hAnsi="宋体" w:eastAsia="宋体" w:cs="宋体"/>
                <w:color w:val="333333"/>
                <w:sz w:val="24"/>
                <w:szCs w:val="24"/>
              </w:rPr>
              <w:t>信用</w:t>
            </w:r>
          </w:p>
        </w:tc>
        <w:tc>
          <w:tcPr>
            <w:tcW w:w="10620" w:type="dxa"/>
            <w:tcBorders>
              <w:right w:val="single" w:color="auto" w:sz="8" w:space="0"/>
            </w:tcBorders>
            <w:vAlign w:val="bottom"/>
          </w:tcPr>
          <w:p>
            <w:pPr>
              <w:spacing w:after="0" w:line="291" w:lineRule="exact"/>
              <w:jc w:val="right"/>
              <w:rPr>
                <w:color w:val="auto"/>
                <w:sz w:val="20"/>
                <w:szCs w:val="20"/>
              </w:rPr>
            </w:pPr>
            <w:r>
              <w:rPr>
                <w:rFonts w:ascii="宋体" w:hAnsi="宋体" w:eastAsia="宋体" w:cs="宋体"/>
                <w:color w:val="333333"/>
                <w:sz w:val="24"/>
                <w:szCs w:val="24"/>
              </w:rPr>
              <w:t>政府及其部门网站要与</w:t>
            </w:r>
            <w:r>
              <w:rPr>
                <w:rFonts w:ascii="Arial" w:hAnsi="Arial" w:eastAsia="Arial" w:cs="Arial"/>
                <w:color w:val="333333"/>
                <w:sz w:val="24"/>
                <w:szCs w:val="24"/>
              </w:rPr>
              <w:t>“</w:t>
            </w:r>
            <w:r>
              <w:rPr>
                <w:rFonts w:ascii="宋体" w:hAnsi="宋体" w:eastAsia="宋体" w:cs="宋体"/>
                <w:color w:val="333333"/>
                <w:sz w:val="24"/>
                <w:szCs w:val="24"/>
              </w:rPr>
              <w:t>信用中国</w:t>
            </w:r>
            <w:r>
              <w:rPr>
                <w:rFonts w:ascii="Arial" w:hAnsi="Arial" w:eastAsia="Arial" w:cs="Arial"/>
                <w:color w:val="333333"/>
                <w:sz w:val="24"/>
                <w:szCs w:val="24"/>
              </w:rPr>
              <w:t>”</w:t>
            </w:r>
            <w:r>
              <w:rPr>
                <w:rFonts w:ascii="宋体" w:hAnsi="宋体" w:eastAsia="宋体" w:cs="宋体"/>
                <w:color w:val="333333"/>
                <w:sz w:val="24"/>
                <w:szCs w:val="24"/>
              </w:rPr>
              <w:t>网站连接，并将本单位政务公开信息和相关市场主体违法违规</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3" w:hRule="atLeast"/>
        </w:trPr>
        <w:tc>
          <w:tcPr>
            <w:tcW w:w="1800" w:type="dxa"/>
            <w:tcBorders>
              <w:left w:val="single" w:color="auto" w:sz="8" w:space="0"/>
              <w:right w:val="single" w:color="auto" w:sz="8" w:space="0"/>
            </w:tcBorders>
            <w:vAlign w:val="bottom"/>
          </w:tcPr>
          <w:p>
            <w:pPr>
              <w:spacing w:after="0" w:line="291" w:lineRule="exact"/>
              <w:ind w:left="120"/>
              <w:rPr>
                <w:color w:val="auto"/>
                <w:sz w:val="20"/>
                <w:szCs w:val="20"/>
              </w:rPr>
            </w:pPr>
            <w:r>
              <w:rPr>
                <w:rFonts w:ascii="宋体" w:hAnsi="宋体" w:eastAsia="宋体" w:cs="宋体"/>
                <w:color w:val="333333"/>
                <w:sz w:val="24"/>
                <w:szCs w:val="24"/>
              </w:rPr>
              <w:t>交通</w:t>
            </w:r>
            <w:r>
              <w:rPr>
                <w:rFonts w:ascii="Arial" w:hAnsi="Arial" w:eastAsia="Arial" w:cs="Arial"/>
                <w:color w:val="333333"/>
                <w:sz w:val="24"/>
                <w:szCs w:val="24"/>
              </w:rPr>
              <w:t>”</w:t>
            </w:r>
            <w:r>
              <w:rPr>
                <w:rFonts w:ascii="宋体" w:hAnsi="宋体" w:eastAsia="宋体" w:cs="宋体"/>
                <w:color w:val="333333"/>
                <w:sz w:val="24"/>
                <w:szCs w:val="24"/>
              </w:rPr>
              <w:t>等网站和</w:t>
            </w:r>
          </w:p>
        </w:tc>
        <w:tc>
          <w:tcPr>
            <w:tcW w:w="10620" w:type="dxa"/>
            <w:tcBorders>
              <w:right w:val="single" w:color="auto" w:sz="8" w:space="0"/>
            </w:tcBorders>
            <w:vAlign w:val="bottom"/>
          </w:tcPr>
          <w:p>
            <w:pPr>
              <w:spacing w:after="0" w:line="291" w:lineRule="exact"/>
              <w:ind w:left="100"/>
              <w:rPr>
                <w:color w:val="auto"/>
                <w:sz w:val="20"/>
                <w:szCs w:val="20"/>
              </w:rPr>
            </w:pPr>
            <w:r>
              <w:rPr>
                <w:rFonts w:ascii="宋体" w:hAnsi="宋体" w:eastAsia="宋体" w:cs="宋体"/>
                <w:color w:val="333333"/>
                <w:sz w:val="24"/>
                <w:szCs w:val="24"/>
              </w:rPr>
              <w:t>信息在</w:t>
            </w:r>
            <w:r>
              <w:rPr>
                <w:rFonts w:ascii="Arial" w:hAnsi="Arial" w:eastAsia="Arial" w:cs="Arial"/>
                <w:color w:val="333333"/>
                <w:sz w:val="24"/>
                <w:szCs w:val="24"/>
              </w:rPr>
              <w:t>“</w:t>
            </w:r>
            <w:r>
              <w:rPr>
                <w:rFonts w:ascii="宋体" w:hAnsi="宋体" w:eastAsia="宋体" w:cs="宋体"/>
                <w:color w:val="333333"/>
                <w:sz w:val="24"/>
                <w:szCs w:val="24"/>
              </w:rPr>
              <w:t>信用中国</w:t>
            </w:r>
            <w:r>
              <w:rPr>
                <w:rFonts w:ascii="Arial" w:hAnsi="Arial" w:eastAsia="Arial" w:cs="Arial"/>
                <w:color w:val="333333"/>
                <w:sz w:val="24"/>
                <w:szCs w:val="24"/>
              </w:rPr>
              <w:t>”</w:t>
            </w:r>
            <w:r>
              <w:rPr>
                <w:rFonts w:ascii="宋体" w:hAnsi="宋体" w:eastAsia="宋体" w:cs="宋体"/>
                <w:color w:val="333333"/>
                <w:sz w:val="24"/>
                <w:szCs w:val="24"/>
              </w:rPr>
              <w:t>网站公开。</w:t>
            </w:r>
          </w:p>
        </w:tc>
        <w:tc>
          <w:tcPr>
            <w:tcW w:w="142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国家发展改</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64" w:hRule="atLeast"/>
        </w:trPr>
        <w:tc>
          <w:tcPr>
            <w:tcW w:w="180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国家企业信用</w:t>
            </w:r>
          </w:p>
        </w:tc>
        <w:tc>
          <w:tcPr>
            <w:tcW w:w="1062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333333"/>
                <w:sz w:val="24"/>
                <w:szCs w:val="24"/>
              </w:rPr>
              <w:t>2</w:t>
            </w:r>
            <w:r>
              <w:rPr>
                <w:rFonts w:ascii="宋体" w:hAnsi="宋体" w:eastAsia="宋体" w:cs="宋体"/>
                <w:b/>
                <w:bCs/>
                <w:color w:val="333333"/>
                <w:sz w:val="24"/>
                <w:szCs w:val="24"/>
              </w:rPr>
              <w:t>、《企业信息公示暂行条例》</w:t>
            </w:r>
          </w:p>
        </w:tc>
        <w:tc>
          <w:tcPr>
            <w:tcW w:w="142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革委、交通</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36" w:hRule="atLeast"/>
        </w:trPr>
        <w:tc>
          <w:tcPr>
            <w:tcW w:w="180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信息公示系统</w:t>
            </w:r>
          </w:p>
        </w:tc>
        <w:tc>
          <w:tcPr>
            <w:tcW w:w="10620" w:type="dxa"/>
            <w:tcBorders>
              <w:right w:val="single" w:color="auto" w:sz="8" w:space="0"/>
            </w:tcBorders>
            <w:vAlign w:val="bottom"/>
          </w:tcPr>
          <w:p>
            <w:pPr>
              <w:spacing w:after="0" w:line="274" w:lineRule="exact"/>
              <w:jc w:val="right"/>
              <w:rPr>
                <w:color w:val="auto"/>
                <w:sz w:val="20"/>
                <w:szCs w:val="20"/>
              </w:rPr>
            </w:pPr>
            <w:r>
              <w:rPr>
                <w:rFonts w:ascii="宋体" w:hAnsi="宋体" w:eastAsia="宋体" w:cs="宋体"/>
                <w:color w:val="333333"/>
                <w:sz w:val="24"/>
                <w:szCs w:val="24"/>
              </w:rPr>
              <w:t>第七条 工商行政管理部门以外的其他政府部门（以下简称其他政府部门）应当公示其在履行职</w:t>
            </w:r>
          </w:p>
        </w:tc>
        <w:tc>
          <w:tcPr>
            <w:tcW w:w="142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运输部、工</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64" w:hRule="atLeast"/>
        </w:trPr>
        <w:tc>
          <w:tcPr>
            <w:tcW w:w="180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依法向社会公</w:t>
            </w:r>
          </w:p>
        </w:tc>
        <w:tc>
          <w:tcPr>
            <w:tcW w:w="10620" w:type="dxa"/>
            <w:tcBorders>
              <w:right w:val="single" w:color="auto" w:sz="8" w:space="0"/>
            </w:tcBorders>
            <w:vAlign w:val="bottom"/>
          </w:tcPr>
          <w:p>
            <w:pPr>
              <w:spacing w:after="0" w:line="292" w:lineRule="exact"/>
              <w:ind w:left="100"/>
              <w:rPr>
                <w:color w:val="auto"/>
                <w:sz w:val="20"/>
                <w:szCs w:val="20"/>
              </w:rPr>
            </w:pPr>
            <w:r>
              <w:rPr>
                <w:rFonts w:ascii="宋体" w:hAnsi="宋体" w:eastAsia="宋体" w:cs="宋体"/>
                <w:color w:val="333333"/>
                <w:sz w:val="24"/>
                <w:szCs w:val="24"/>
              </w:rPr>
              <w:t>责过程中产生的下列企业信息：（</w:t>
            </w:r>
            <w:r>
              <w:rPr>
                <w:rFonts w:ascii="Times New Roman" w:hAnsi="Times New Roman" w:eastAsia="Times New Roman" w:cs="Times New Roman"/>
                <w:color w:val="333333"/>
                <w:sz w:val="24"/>
                <w:szCs w:val="24"/>
              </w:rPr>
              <w:t>1</w:t>
            </w:r>
            <w:r>
              <w:rPr>
                <w:rFonts w:ascii="宋体" w:hAnsi="宋体" w:eastAsia="宋体" w:cs="宋体"/>
                <w:color w:val="333333"/>
                <w:sz w:val="24"/>
                <w:szCs w:val="24"/>
              </w:rPr>
              <w:t>）行政许可准予、变更、延续信息；（</w:t>
            </w:r>
            <w:r>
              <w:rPr>
                <w:rFonts w:ascii="Times New Roman" w:hAnsi="Times New Roman" w:eastAsia="Times New Roman" w:cs="Times New Roman"/>
                <w:color w:val="333333"/>
                <w:sz w:val="24"/>
                <w:szCs w:val="24"/>
              </w:rPr>
              <w:t>2</w:t>
            </w:r>
            <w:r>
              <w:rPr>
                <w:rFonts w:ascii="宋体" w:hAnsi="宋体" w:eastAsia="宋体" w:cs="宋体"/>
                <w:color w:val="333333"/>
                <w:sz w:val="24"/>
                <w:szCs w:val="24"/>
              </w:rPr>
              <w:t>）行政处罚信息；（</w:t>
            </w:r>
            <w:r>
              <w:rPr>
                <w:rFonts w:ascii="Times New Roman" w:hAnsi="Times New Roman" w:eastAsia="Times New Roman" w:cs="Times New Roman"/>
                <w:color w:val="333333"/>
                <w:sz w:val="24"/>
                <w:szCs w:val="24"/>
              </w:rPr>
              <w:t>3</w:t>
            </w:r>
            <w:r>
              <w:rPr>
                <w:rFonts w:ascii="宋体" w:hAnsi="宋体" w:eastAsia="宋体" w:cs="宋体"/>
                <w:color w:val="333333"/>
                <w:sz w:val="24"/>
                <w:szCs w:val="24"/>
              </w:rPr>
              <w:t>）</w:t>
            </w:r>
          </w:p>
        </w:tc>
        <w:tc>
          <w:tcPr>
            <w:tcW w:w="142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商总局</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36" w:hRule="atLeast"/>
        </w:trPr>
        <w:tc>
          <w:tcPr>
            <w:tcW w:w="180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布失信主体信</w:t>
            </w:r>
          </w:p>
        </w:tc>
        <w:tc>
          <w:tcPr>
            <w:tcW w:w="1062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其他依法应当公示的信息。</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息。</w:t>
            </w:r>
          </w:p>
        </w:tc>
        <w:tc>
          <w:tcPr>
            <w:tcW w:w="10620" w:type="dxa"/>
            <w:tcBorders>
              <w:right w:val="single" w:color="auto" w:sz="8" w:space="0"/>
            </w:tcBorders>
            <w:vAlign w:val="bottom"/>
          </w:tcPr>
          <w:p>
            <w:pPr>
              <w:spacing w:after="0" w:line="274" w:lineRule="exact"/>
              <w:jc w:val="right"/>
              <w:rPr>
                <w:color w:val="auto"/>
                <w:sz w:val="20"/>
                <w:szCs w:val="20"/>
              </w:rPr>
            </w:pPr>
            <w:r>
              <w:rPr>
                <w:rFonts w:ascii="宋体" w:hAnsi="宋体" w:eastAsia="宋体" w:cs="宋体"/>
                <w:color w:val="333333"/>
                <w:sz w:val="24"/>
                <w:szCs w:val="24"/>
              </w:rPr>
              <w:t>其他政府部门可以通过企业信用信息公示系统，也可以通过其他系统公示企业信息。工商行政</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74" w:lineRule="exact"/>
              <w:jc w:val="right"/>
              <w:rPr>
                <w:color w:val="auto"/>
                <w:sz w:val="20"/>
                <w:szCs w:val="20"/>
              </w:rPr>
            </w:pPr>
            <w:r>
              <w:rPr>
                <w:rFonts w:ascii="宋体" w:hAnsi="宋体" w:eastAsia="宋体" w:cs="宋体"/>
                <w:color w:val="333333"/>
                <w:sz w:val="24"/>
                <w:szCs w:val="24"/>
              </w:rPr>
              <w:t>管理部门和其他政府部门应当按照国家社会信用信息平台建设的总体要求，实现企业信息的互联共</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享。</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42" w:hRule="atLeast"/>
        </w:trPr>
        <w:tc>
          <w:tcPr>
            <w:tcW w:w="180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10620" w:type="dxa"/>
            <w:tcBorders>
              <w:bottom w:val="single" w:color="auto" w:sz="8" w:space="0"/>
              <w:right w:val="single" w:color="auto" w:sz="8" w:space="0"/>
            </w:tcBorders>
            <w:vAlign w:val="bottom"/>
          </w:tcPr>
          <w:p>
            <w:pPr>
              <w:spacing w:after="0"/>
              <w:rPr>
                <w:color w:val="auto"/>
                <w:sz w:val="3"/>
                <w:szCs w:val="3"/>
              </w:rPr>
            </w:pPr>
          </w:p>
        </w:tc>
        <w:tc>
          <w:tcPr>
            <w:tcW w:w="1420" w:type="dxa"/>
            <w:tcBorders>
              <w:bottom w:val="single" w:color="auto" w:sz="8" w:space="0"/>
              <w:right w:val="single" w:color="auto" w:sz="8" w:space="0"/>
            </w:tcBorders>
            <w:vAlign w:val="bottom"/>
          </w:tcPr>
          <w:p>
            <w:pPr>
              <w:spacing w:after="0"/>
              <w:rPr>
                <w:color w:val="auto"/>
                <w:sz w:val="3"/>
                <w:szCs w:val="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14"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333333"/>
                <w:sz w:val="24"/>
                <w:szCs w:val="24"/>
              </w:rPr>
              <w:t>1</w:t>
            </w:r>
            <w:r>
              <w:rPr>
                <w:rFonts w:ascii="宋体" w:hAnsi="宋体" w:eastAsia="宋体" w:cs="宋体"/>
                <w:b/>
                <w:bCs/>
                <w:color w:val="333333"/>
                <w:sz w:val="24"/>
                <w:szCs w:val="24"/>
              </w:rPr>
              <w:t>、《国务院关于促进市场公平竞争维护市场正常秩序的若干意见》</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34"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91" w:lineRule="exact"/>
              <w:jc w:val="right"/>
              <w:rPr>
                <w:color w:val="auto"/>
                <w:sz w:val="20"/>
                <w:szCs w:val="20"/>
              </w:rPr>
            </w:pPr>
            <w:r>
              <w:rPr>
                <w:rFonts w:ascii="宋体" w:hAnsi="宋体" w:eastAsia="宋体" w:cs="宋体"/>
                <w:color w:val="333333"/>
                <w:sz w:val="24"/>
                <w:szCs w:val="24"/>
              </w:rPr>
              <w:t>（十五）建立健全守信激励和失信惩戒机制。</w:t>
            </w:r>
            <w:r>
              <w:rPr>
                <w:rFonts w:ascii="Arial" w:hAnsi="Arial" w:eastAsia="Arial" w:cs="Arial"/>
                <w:color w:val="333333"/>
                <w:sz w:val="24"/>
                <w:szCs w:val="24"/>
              </w:rPr>
              <w:t>…</w:t>
            </w:r>
            <w:r>
              <w:rPr>
                <w:rFonts w:ascii="宋体" w:hAnsi="宋体" w:eastAsia="宋体" w:cs="宋体"/>
                <w:color w:val="333333"/>
                <w:sz w:val="24"/>
                <w:szCs w:val="24"/>
              </w:rPr>
              <w:t>对守信主体予以支持和激励，对失信主体在经</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3" w:hRule="atLeast"/>
        </w:trPr>
        <w:tc>
          <w:tcPr>
            <w:tcW w:w="1800" w:type="dxa"/>
            <w:vMerge w:val="restart"/>
            <w:tcBorders>
              <w:left w:val="single" w:color="auto" w:sz="8" w:space="0"/>
              <w:right w:val="single" w:color="auto" w:sz="8" w:space="0"/>
            </w:tcBorders>
            <w:vAlign w:val="bottom"/>
          </w:tcPr>
          <w:p>
            <w:pPr>
              <w:spacing w:after="0" w:line="292" w:lineRule="exact"/>
              <w:ind w:left="120"/>
              <w:rPr>
                <w:color w:val="auto"/>
                <w:sz w:val="20"/>
                <w:szCs w:val="20"/>
              </w:rPr>
            </w:pPr>
            <w:r>
              <w:rPr>
                <w:rFonts w:ascii="Times New Roman" w:hAnsi="Times New Roman" w:eastAsia="Times New Roman" w:cs="Times New Roman"/>
                <w:color w:val="333333"/>
                <w:w w:val="97"/>
                <w:sz w:val="24"/>
                <w:szCs w:val="24"/>
              </w:rPr>
              <w:t>26</w:t>
            </w:r>
            <w:r>
              <w:rPr>
                <w:rFonts w:ascii="宋体" w:hAnsi="宋体" w:eastAsia="宋体" w:cs="宋体"/>
                <w:color w:val="333333"/>
                <w:w w:val="97"/>
                <w:sz w:val="24"/>
                <w:szCs w:val="24"/>
              </w:rPr>
              <w:t>、对失信主体</w:t>
            </w:r>
          </w:p>
        </w:tc>
        <w:tc>
          <w:tcPr>
            <w:tcW w:w="10620" w:type="dxa"/>
            <w:tcBorders>
              <w:right w:val="single" w:color="auto" w:sz="8" w:space="0"/>
            </w:tcBorders>
            <w:vAlign w:val="bottom"/>
          </w:tcPr>
          <w:p>
            <w:pPr>
              <w:spacing w:after="0" w:line="274" w:lineRule="exact"/>
              <w:jc w:val="right"/>
              <w:rPr>
                <w:color w:val="auto"/>
                <w:sz w:val="20"/>
                <w:szCs w:val="20"/>
              </w:rPr>
            </w:pPr>
            <w:r>
              <w:rPr>
                <w:rFonts w:ascii="宋体" w:hAnsi="宋体" w:eastAsia="宋体" w:cs="宋体"/>
                <w:color w:val="333333"/>
                <w:sz w:val="24"/>
                <w:szCs w:val="24"/>
              </w:rPr>
              <w:t>营、投融资、取得政府供应土地、进出口、出入境、注册新公司、工程招投标、政府采购、获得荣</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89" w:hRule="atLeast"/>
        </w:trPr>
        <w:tc>
          <w:tcPr>
            <w:tcW w:w="1800" w:type="dxa"/>
            <w:vMerge w:val="continue"/>
            <w:tcBorders>
              <w:left w:val="single" w:color="auto" w:sz="8" w:space="0"/>
              <w:right w:val="single" w:color="auto" w:sz="8" w:space="0"/>
            </w:tcBorders>
            <w:vAlign w:val="bottom"/>
          </w:tcPr>
          <w:p>
            <w:pPr>
              <w:spacing w:after="0"/>
              <w:rPr>
                <w:color w:val="auto"/>
                <w:sz w:val="16"/>
                <w:szCs w:val="16"/>
              </w:rPr>
            </w:pPr>
          </w:p>
        </w:tc>
        <w:tc>
          <w:tcPr>
            <w:tcW w:w="10620" w:type="dxa"/>
            <w:vMerge w:val="restart"/>
            <w:tcBorders>
              <w:right w:val="single" w:color="auto" w:sz="8" w:space="0"/>
            </w:tcBorders>
            <w:vAlign w:val="bottom"/>
          </w:tcPr>
          <w:p>
            <w:pPr>
              <w:spacing w:after="0" w:line="274" w:lineRule="exact"/>
              <w:jc w:val="right"/>
              <w:rPr>
                <w:color w:val="auto"/>
                <w:sz w:val="20"/>
                <w:szCs w:val="20"/>
              </w:rPr>
            </w:pPr>
            <w:r>
              <w:rPr>
                <w:rFonts w:ascii="宋体" w:hAnsi="宋体" w:eastAsia="宋体" w:cs="宋体"/>
                <w:color w:val="333333"/>
                <w:sz w:val="24"/>
                <w:szCs w:val="24"/>
              </w:rPr>
              <w:t>誉、安全许可、生产许可、从业任职资格、资质审核等方面依法予以限制或禁止，对严重违法失信</w:t>
            </w:r>
          </w:p>
        </w:tc>
        <w:tc>
          <w:tcPr>
            <w:tcW w:w="1420" w:type="dxa"/>
            <w:tcBorders>
              <w:right w:val="single" w:color="auto" w:sz="8" w:space="0"/>
            </w:tcBorders>
            <w:vAlign w:val="bottom"/>
          </w:tcPr>
          <w:p>
            <w:pPr>
              <w:spacing w:after="0"/>
              <w:rPr>
                <w:color w:val="auto"/>
                <w:sz w:val="16"/>
                <w:szCs w:val="16"/>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59" w:hRule="atLeast"/>
        </w:trPr>
        <w:tc>
          <w:tcPr>
            <w:tcW w:w="1800" w:type="dxa"/>
            <w:vMerge w:val="restart"/>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w w:val="97"/>
                <w:sz w:val="24"/>
                <w:szCs w:val="24"/>
              </w:rPr>
              <w:t>参评文明单位、</w:t>
            </w:r>
          </w:p>
        </w:tc>
        <w:tc>
          <w:tcPr>
            <w:tcW w:w="10620" w:type="dxa"/>
            <w:vMerge w:val="continue"/>
            <w:tcBorders>
              <w:right w:val="single" w:color="auto" w:sz="8" w:space="0"/>
            </w:tcBorders>
            <w:vAlign w:val="bottom"/>
          </w:tcPr>
          <w:p>
            <w:pPr>
              <w:spacing w:after="0"/>
              <w:rPr>
                <w:color w:val="auto"/>
                <w:sz w:val="13"/>
                <w:szCs w:val="13"/>
              </w:rPr>
            </w:pPr>
          </w:p>
        </w:tc>
        <w:tc>
          <w:tcPr>
            <w:tcW w:w="1420" w:type="dxa"/>
            <w:tcBorders>
              <w:right w:val="single" w:color="auto" w:sz="8" w:space="0"/>
            </w:tcBorders>
            <w:vAlign w:val="bottom"/>
          </w:tcPr>
          <w:p>
            <w:pPr>
              <w:spacing w:after="0"/>
              <w:rPr>
                <w:color w:val="auto"/>
                <w:sz w:val="13"/>
                <w:szCs w:val="1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5" w:hRule="atLeast"/>
        </w:trPr>
        <w:tc>
          <w:tcPr>
            <w:tcW w:w="1800" w:type="dxa"/>
            <w:vMerge w:val="continue"/>
            <w:tcBorders>
              <w:left w:val="single" w:color="auto" w:sz="8" w:space="0"/>
              <w:right w:val="single" w:color="auto" w:sz="8" w:space="0"/>
            </w:tcBorders>
            <w:vAlign w:val="bottom"/>
          </w:tcPr>
          <w:p>
            <w:pPr>
              <w:spacing w:after="0"/>
              <w:rPr>
                <w:color w:val="auto"/>
                <w:sz w:val="15"/>
                <w:szCs w:val="15"/>
              </w:rPr>
            </w:pPr>
          </w:p>
        </w:tc>
        <w:tc>
          <w:tcPr>
            <w:tcW w:w="10620" w:type="dxa"/>
            <w:vMerge w:val="restart"/>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主体实行市场禁入制度。</w:t>
            </w:r>
          </w:p>
        </w:tc>
        <w:tc>
          <w:tcPr>
            <w:tcW w:w="1420" w:type="dxa"/>
            <w:vMerge w:val="restart"/>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中央文明办</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8" w:hRule="atLeast"/>
        </w:trPr>
        <w:tc>
          <w:tcPr>
            <w:tcW w:w="1800" w:type="dxa"/>
            <w:vMerge w:val="restart"/>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道德模范依法</w:t>
            </w:r>
          </w:p>
        </w:tc>
        <w:tc>
          <w:tcPr>
            <w:tcW w:w="10620" w:type="dxa"/>
            <w:vMerge w:val="continue"/>
            <w:tcBorders>
              <w:right w:val="single" w:color="auto" w:sz="8" w:space="0"/>
            </w:tcBorders>
            <w:vAlign w:val="bottom"/>
          </w:tcPr>
          <w:p>
            <w:pPr>
              <w:spacing w:after="0"/>
              <w:rPr>
                <w:color w:val="auto"/>
                <w:sz w:val="15"/>
                <w:szCs w:val="15"/>
              </w:rPr>
            </w:pPr>
          </w:p>
        </w:tc>
        <w:tc>
          <w:tcPr>
            <w:tcW w:w="1420" w:type="dxa"/>
            <w:vMerge w:val="continue"/>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5" w:hRule="atLeast"/>
        </w:trPr>
        <w:tc>
          <w:tcPr>
            <w:tcW w:w="1800" w:type="dxa"/>
            <w:vMerge w:val="continue"/>
            <w:tcBorders>
              <w:left w:val="single" w:color="auto" w:sz="8" w:space="0"/>
              <w:right w:val="single" w:color="auto" w:sz="8" w:space="0"/>
            </w:tcBorders>
            <w:vAlign w:val="bottom"/>
          </w:tcPr>
          <w:p>
            <w:pPr>
              <w:spacing w:after="0"/>
              <w:rPr>
                <w:color w:val="auto"/>
                <w:sz w:val="15"/>
                <w:szCs w:val="15"/>
              </w:rPr>
            </w:pPr>
          </w:p>
        </w:tc>
        <w:tc>
          <w:tcPr>
            <w:tcW w:w="10620" w:type="dxa"/>
            <w:vMerge w:val="restart"/>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333333"/>
                <w:w w:val="98"/>
                <w:sz w:val="24"/>
                <w:szCs w:val="24"/>
              </w:rPr>
              <w:t>2</w:t>
            </w:r>
            <w:r>
              <w:rPr>
                <w:rFonts w:ascii="宋体" w:hAnsi="宋体" w:eastAsia="宋体" w:cs="宋体"/>
                <w:b/>
                <w:bCs/>
                <w:color w:val="333333"/>
                <w:w w:val="98"/>
                <w:sz w:val="24"/>
                <w:szCs w:val="24"/>
              </w:rPr>
              <w:t>、《国务院关于建立完善守信联合激励和失信联合惩戒制度加快推进社会诚信建设的指导意见》</w:t>
            </w:r>
          </w:p>
        </w:tc>
        <w:tc>
          <w:tcPr>
            <w:tcW w:w="1420" w:type="dxa"/>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89" w:hRule="atLeast"/>
        </w:trPr>
        <w:tc>
          <w:tcPr>
            <w:tcW w:w="1800" w:type="dxa"/>
            <w:vMerge w:val="restart"/>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予以限制。</w:t>
            </w:r>
          </w:p>
        </w:tc>
        <w:tc>
          <w:tcPr>
            <w:tcW w:w="10620" w:type="dxa"/>
            <w:vMerge w:val="continue"/>
            <w:tcBorders>
              <w:right w:val="single" w:color="auto" w:sz="8" w:space="0"/>
            </w:tcBorders>
            <w:vAlign w:val="bottom"/>
          </w:tcPr>
          <w:p>
            <w:pPr>
              <w:spacing w:after="0"/>
              <w:rPr>
                <w:color w:val="auto"/>
                <w:sz w:val="16"/>
                <w:szCs w:val="16"/>
              </w:rPr>
            </w:pPr>
          </w:p>
        </w:tc>
        <w:tc>
          <w:tcPr>
            <w:tcW w:w="1420" w:type="dxa"/>
            <w:tcBorders>
              <w:right w:val="single" w:color="auto" w:sz="8" w:space="0"/>
            </w:tcBorders>
            <w:vAlign w:val="bottom"/>
          </w:tcPr>
          <w:p>
            <w:pPr>
              <w:spacing w:after="0"/>
              <w:rPr>
                <w:color w:val="auto"/>
                <w:sz w:val="16"/>
                <w:szCs w:val="16"/>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59" w:hRule="atLeast"/>
        </w:trPr>
        <w:tc>
          <w:tcPr>
            <w:tcW w:w="1800" w:type="dxa"/>
            <w:vMerge w:val="continue"/>
            <w:tcBorders>
              <w:left w:val="single" w:color="auto" w:sz="8" w:space="0"/>
              <w:right w:val="single" w:color="auto" w:sz="8" w:space="0"/>
            </w:tcBorders>
            <w:vAlign w:val="bottom"/>
          </w:tcPr>
          <w:p>
            <w:pPr>
              <w:spacing w:after="0"/>
              <w:rPr>
                <w:color w:val="auto"/>
                <w:sz w:val="13"/>
                <w:szCs w:val="13"/>
              </w:rPr>
            </w:pPr>
          </w:p>
        </w:tc>
        <w:tc>
          <w:tcPr>
            <w:tcW w:w="10620" w:type="dxa"/>
            <w:vMerge w:val="restart"/>
            <w:tcBorders>
              <w:right w:val="single" w:color="auto" w:sz="8" w:space="0"/>
            </w:tcBorders>
            <w:vAlign w:val="bottom"/>
          </w:tcPr>
          <w:p>
            <w:pPr>
              <w:spacing w:after="0" w:line="274" w:lineRule="exact"/>
              <w:jc w:val="right"/>
              <w:rPr>
                <w:color w:val="auto"/>
                <w:sz w:val="20"/>
                <w:szCs w:val="20"/>
              </w:rPr>
            </w:pPr>
            <w:r>
              <w:rPr>
                <w:rFonts w:ascii="宋体" w:hAnsi="宋体" w:eastAsia="宋体" w:cs="宋体"/>
                <w:color w:val="333333"/>
                <w:sz w:val="24"/>
                <w:szCs w:val="24"/>
              </w:rPr>
              <w:t>（十）依法依规加强对失信行为的行政性约束和惩戒。对严重失信主体，各地区、各有关部门</w:t>
            </w:r>
          </w:p>
        </w:tc>
        <w:tc>
          <w:tcPr>
            <w:tcW w:w="1420" w:type="dxa"/>
            <w:tcBorders>
              <w:right w:val="single" w:color="auto" w:sz="8" w:space="0"/>
            </w:tcBorders>
            <w:vAlign w:val="bottom"/>
          </w:tcPr>
          <w:p>
            <w:pPr>
              <w:spacing w:after="0"/>
              <w:rPr>
                <w:color w:val="auto"/>
                <w:sz w:val="13"/>
                <w:szCs w:val="1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8" w:hRule="atLeast"/>
        </w:trPr>
        <w:tc>
          <w:tcPr>
            <w:tcW w:w="1800" w:type="dxa"/>
            <w:tcBorders>
              <w:left w:val="single" w:color="auto" w:sz="8" w:space="0"/>
              <w:right w:val="single" w:color="auto" w:sz="8" w:space="0"/>
            </w:tcBorders>
            <w:vAlign w:val="bottom"/>
          </w:tcPr>
          <w:p>
            <w:pPr>
              <w:spacing w:after="0"/>
              <w:rPr>
                <w:color w:val="auto"/>
                <w:sz w:val="15"/>
                <w:szCs w:val="15"/>
              </w:rPr>
            </w:pPr>
          </w:p>
        </w:tc>
        <w:tc>
          <w:tcPr>
            <w:tcW w:w="10620" w:type="dxa"/>
            <w:vMerge w:val="continue"/>
            <w:tcBorders>
              <w:right w:val="single" w:color="auto" w:sz="8" w:space="0"/>
            </w:tcBorders>
            <w:vAlign w:val="bottom"/>
          </w:tcPr>
          <w:p>
            <w:pPr>
              <w:spacing w:after="0"/>
              <w:rPr>
                <w:color w:val="auto"/>
                <w:sz w:val="15"/>
                <w:szCs w:val="15"/>
              </w:rPr>
            </w:pPr>
          </w:p>
        </w:tc>
        <w:tc>
          <w:tcPr>
            <w:tcW w:w="1420" w:type="dxa"/>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91" w:lineRule="exact"/>
              <w:jc w:val="right"/>
              <w:rPr>
                <w:color w:val="auto"/>
                <w:sz w:val="20"/>
                <w:szCs w:val="20"/>
              </w:rPr>
            </w:pPr>
            <w:r>
              <w:rPr>
                <w:rFonts w:ascii="宋体" w:hAnsi="宋体" w:eastAsia="宋体" w:cs="宋体"/>
                <w:color w:val="333333"/>
                <w:sz w:val="24"/>
                <w:szCs w:val="24"/>
              </w:rPr>
              <w:t>应将其列为重点监管对象，依法依规采取行政性约束和惩戒措施。</w:t>
            </w:r>
            <w:r>
              <w:rPr>
                <w:rFonts w:ascii="Arial" w:hAnsi="Arial" w:eastAsia="Arial" w:cs="Arial"/>
                <w:color w:val="333333"/>
                <w:sz w:val="24"/>
                <w:szCs w:val="24"/>
              </w:rPr>
              <w:t>…</w:t>
            </w:r>
            <w:r>
              <w:rPr>
                <w:rFonts w:ascii="宋体" w:hAnsi="宋体" w:eastAsia="宋体" w:cs="宋体"/>
                <w:color w:val="333333"/>
                <w:sz w:val="24"/>
                <w:szCs w:val="24"/>
              </w:rPr>
              <w:t>及时撤销严重失信企业及其法</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74" w:lineRule="exact"/>
              <w:jc w:val="right"/>
              <w:rPr>
                <w:color w:val="auto"/>
                <w:sz w:val="20"/>
                <w:szCs w:val="20"/>
              </w:rPr>
            </w:pPr>
            <w:r>
              <w:rPr>
                <w:rFonts w:ascii="宋体" w:hAnsi="宋体" w:eastAsia="宋体" w:cs="宋体"/>
                <w:color w:val="333333"/>
                <w:sz w:val="24"/>
                <w:szCs w:val="24"/>
              </w:rPr>
              <w:t>定代表人、负责人、高级管理人员和对失信行为负有直接责任的董事、股东等人员的荣誉称号，取</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40" w:hRule="atLeast"/>
        </w:trPr>
        <w:tc>
          <w:tcPr>
            <w:tcW w:w="180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10620" w:type="dxa"/>
            <w:tcBorders>
              <w:bottom w:val="single" w:color="auto" w:sz="8" w:space="0"/>
              <w:right w:val="single" w:color="auto" w:sz="8" w:space="0"/>
            </w:tcBorders>
            <w:vAlign w:val="bottom"/>
          </w:tcPr>
          <w:p>
            <w:pPr>
              <w:spacing w:after="0"/>
              <w:rPr>
                <w:color w:val="auto"/>
                <w:sz w:val="3"/>
                <w:szCs w:val="3"/>
              </w:rPr>
            </w:pPr>
          </w:p>
        </w:tc>
        <w:tc>
          <w:tcPr>
            <w:tcW w:w="1420" w:type="dxa"/>
            <w:tcBorders>
              <w:bottom w:val="single" w:color="auto" w:sz="8" w:space="0"/>
              <w:right w:val="single" w:color="auto" w:sz="8" w:space="0"/>
            </w:tcBorders>
            <w:vAlign w:val="bottom"/>
          </w:tcPr>
          <w:p>
            <w:pPr>
              <w:spacing w:after="0"/>
              <w:rPr>
                <w:color w:val="auto"/>
                <w:sz w:val="3"/>
                <w:szCs w:val="3"/>
              </w:rPr>
            </w:pPr>
          </w:p>
        </w:tc>
        <w:tc>
          <w:tcPr>
            <w:tcW w:w="0" w:type="dxa"/>
            <w:vAlign w:val="bottom"/>
          </w:tcPr>
          <w:p>
            <w:pPr>
              <w:spacing w:after="0"/>
              <w:rPr>
                <w:color w:val="auto"/>
                <w:sz w:val="1"/>
                <w:szCs w:val="1"/>
              </w:rPr>
            </w:pPr>
          </w:p>
        </w:tc>
      </w:tr>
    </w:tbl>
    <w:p>
      <w:pPr>
        <w:spacing w:after="0" w:line="200" w:lineRule="exact"/>
        <w:rPr>
          <w:color w:val="auto"/>
          <w:sz w:val="20"/>
          <w:szCs w:val="20"/>
        </w:rPr>
      </w:pPr>
    </w:p>
    <w:p>
      <w:pPr>
        <w:sectPr>
          <w:pgSz w:w="16840" w:h="11906" w:orient="landscape"/>
          <w:pgMar w:top="1440" w:right="1440" w:bottom="808" w:left="1440" w:header="0" w:footer="0" w:gutter="0"/>
          <w:cols w:equalWidth="0" w:num="1">
            <w:col w:w="13958"/>
          </w:cols>
        </w:sectPr>
      </w:pPr>
    </w:p>
    <w:p>
      <w:pPr>
        <w:spacing w:after="0" w:line="198" w:lineRule="exact"/>
        <w:rPr>
          <w:color w:val="auto"/>
          <w:sz w:val="20"/>
          <w:szCs w:val="20"/>
        </w:rPr>
      </w:pPr>
    </w:p>
    <w:p>
      <w:pPr>
        <w:spacing w:after="0"/>
        <w:ind w:right="-1"/>
        <w:jc w:val="center"/>
        <w:rPr>
          <w:color w:val="auto"/>
          <w:sz w:val="20"/>
          <w:szCs w:val="20"/>
        </w:rPr>
      </w:pPr>
      <w:r>
        <w:rPr>
          <w:rFonts w:ascii="Times New Roman" w:hAnsi="Times New Roman" w:eastAsia="Times New Roman" w:cs="Times New Roman"/>
          <w:color w:val="auto"/>
          <w:sz w:val="24"/>
          <w:szCs w:val="24"/>
        </w:rPr>
        <w:t>18</w:t>
      </w:r>
    </w:p>
    <w:p>
      <w:pPr>
        <w:sectPr>
          <w:type w:val="continuous"/>
          <w:pgSz w:w="16840" w:h="11906" w:orient="landscape"/>
          <w:pgMar w:top="1440" w:right="1440" w:bottom="808" w:left="1440" w:header="0" w:footer="0" w:gutter="0"/>
          <w:cols w:equalWidth="0" w:num="1">
            <w:col w:w="13958"/>
          </w:cols>
        </w:sectPr>
      </w:pPr>
    </w:p>
    <w:p>
      <w:pPr>
        <w:spacing w:after="0" w:line="298" w:lineRule="exact"/>
        <w:rPr>
          <w:color w:val="auto"/>
          <w:sz w:val="20"/>
          <w:szCs w:val="20"/>
        </w:rPr>
      </w:pPr>
      <w:bookmarkStart w:id="17" w:name="page25"/>
      <w:bookmarkEnd w:id="17"/>
    </w:p>
    <w:tbl>
      <w:tblPr>
        <w:tblStyle w:val="2"/>
        <w:tblW w:w="0" w:type="auto"/>
        <w:tblInd w:w="70" w:type="dxa"/>
        <w:tblLayout w:type="fixed"/>
        <w:tblCellMar>
          <w:top w:w="0" w:type="dxa"/>
          <w:left w:w="0" w:type="dxa"/>
          <w:bottom w:w="0" w:type="dxa"/>
          <w:right w:w="0" w:type="dxa"/>
        </w:tblCellMar>
      </w:tblPr>
      <w:tblGrid>
        <w:gridCol w:w="1800"/>
        <w:gridCol w:w="10620"/>
        <w:gridCol w:w="1420"/>
        <w:gridCol w:w="360"/>
      </w:tblGrid>
      <w:tr>
        <w:tblPrEx>
          <w:tblCellMar>
            <w:top w:w="0" w:type="dxa"/>
            <w:left w:w="0" w:type="dxa"/>
            <w:bottom w:w="0" w:type="dxa"/>
            <w:right w:w="0" w:type="dxa"/>
          </w:tblCellMar>
        </w:tblPrEx>
        <w:trPr>
          <w:trHeight w:val="319" w:hRule="atLeast"/>
        </w:trPr>
        <w:tc>
          <w:tcPr>
            <w:tcW w:w="1800" w:type="dxa"/>
            <w:tcBorders>
              <w:top w:val="single" w:color="auto" w:sz="8" w:space="0"/>
              <w:left w:val="single" w:color="auto" w:sz="8" w:space="0"/>
              <w:right w:val="single" w:color="auto" w:sz="8" w:space="0"/>
            </w:tcBorders>
            <w:vAlign w:val="bottom"/>
          </w:tcPr>
          <w:p>
            <w:pPr>
              <w:spacing w:after="0"/>
              <w:rPr>
                <w:color w:val="auto"/>
                <w:sz w:val="24"/>
                <w:szCs w:val="24"/>
              </w:rPr>
            </w:pPr>
          </w:p>
        </w:tc>
        <w:tc>
          <w:tcPr>
            <w:tcW w:w="10620" w:type="dxa"/>
            <w:tcBorders>
              <w:top w:val="single" w:color="auto" w:sz="8" w:space="0"/>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消参加评先评优资格。</w:t>
            </w:r>
          </w:p>
        </w:tc>
        <w:tc>
          <w:tcPr>
            <w:tcW w:w="1420" w:type="dxa"/>
            <w:tcBorders>
              <w:top w:val="single" w:color="auto" w:sz="8" w:space="0"/>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64"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333333"/>
                <w:sz w:val="24"/>
                <w:szCs w:val="24"/>
              </w:rPr>
              <w:t>3</w:t>
            </w:r>
            <w:r>
              <w:rPr>
                <w:rFonts w:ascii="宋体" w:hAnsi="宋体" w:eastAsia="宋体" w:cs="宋体"/>
                <w:b/>
                <w:bCs/>
                <w:color w:val="333333"/>
                <w:sz w:val="24"/>
                <w:szCs w:val="24"/>
              </w:rPr>
              <w:t>、《企业信息公示暂行条例》</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36"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333333"/>
                <w:sz w:val="24"/>
                <w:szCs w:val="24"/>
              </w:rPr>
              <w:t>第十八条 县级以上地方人民政府及其有关部门应当建立健全信用约束机制，在政府采购、工程</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招投标、国有土地出让、授予荣誉称号等工作中，将企业信息作为重要考量因素，对被列入经营异</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50" w:hRule="atLeast"/>
        </w:trPr>
        <w:tc>
          <w:tcPr>
            <w:tcW w:w="1800" w:type="dxa"/>
            <w:tcBorders>
              <w:left w:val="single" w:color="auto" w:sz="8" w:space="0"/>
              <w:right w:val="single" w:color="auto" w:sz="8" w:space="0"/>
            </w:tcBorders>
            <w:vAlign w:val="bottom"/>
          </w:tcPr>
          <w:p>
            <w:pPr>
              <w:spacing w:after="0"/>
              <w:rPr>
                <w:color w:val="auto"/>
                <w:sz w:val="24"/>
                <w:szCs w:val="24"/>
              </w:rPr>
            </w:pPr>
          </w:p>
        </w:tc>
        <w:tc>
          <w:tcPr>
            <w:tcW w:w="1062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常名录或者严重违法企业名单的企业依法予以限制或者禁入。</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42" w:hRule="atLeast"/>
        </w:trPr>
        <w:tc>
          <w:tcPr>
            <w:tcW w:w="180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10620" w:type="dxa"/>
            <w:tcBorders>
              <w:bottom w:val="single" w:color="auto" w:sz="8" w:space="0"/>
              <w:right w:val="single" w:color="auto" w:sz="8" w:space="0"/>
            </w:tcBorders>
            <w:vAlign w:val="bottom"/>
          </w:tcPr>
          <w:p>
            <w:pPr>
              <w:spacing w:after="0"/>
              <w:rPr>
                <w:color w:val="auto"/>
                <w:sz w:val="3"/>
                <w:szCs w:val="3"/>
              </w:rPr>
            </w:pPr>
          </w:p>
        </w:tc>
        <w:tc>
          <w:tcPr>
            <w:tcW w:w="1420" w:type="dxa"/>
            <w:tcBorders>
              <w:bottom w:val="single" w:color="auto" w:sz="8" w:space="0"/>
              <w:right w:val="single" w:color="auto" w:sz="8" w:space="0"/>
            </w:tcBorders>
            <w:vAlign w:val="bottom"/>
          </w:tcPr>
          <w:p>
            <w:pPr>
              <w:spacing w:after="0"/>
              <w:rPr>
                <w:color w:val="auto"/>
                <w:sz w:val="3"/>
                <w:szCs w:val="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14" w:hRule="atLeast"/>
        </w:trPr>
        <w:tc>
          <w:tcPr>
            <w:tcW w:w="1800" w:type="dxa"/>
            <w:vMerge w:val="restart"/>
            <w:tcBorders>
              <w:left w:val="single" w:color="auto" w:sz="8" w:space="0"/>
              <w:right w:val="single" w:color="auto" w:sz="8" w:space="0"/>
            </w:tcBorders>
            <w:vAlign w:val="bottom"/>
          </w:tcPr>
          <w:p>
            <w:pPr>
              <w:spacing w:after="0" w:line="292" w:lineRule="exact"/>
              <w:ind w:left="120"/>
              <w:rPr>
                <w:color w:val="auto"/>
                <w:sz w:val="20"/>
                <w:szCs w:val="20"/>
              </w:rPr>
            </w:pPr>
            <w:r>
              <w:rPr>
                <w:rFonts w:ascii="Times New Roman" w:hAnsi="Times New Roman" w:eastAsia="Times New Roman" w:cs="Times New Roman"/>
                <w:color w:val="333333"/>
                <w:w w:val="97"/>
                <w:sz w:val="24"/>
                <w:szCs w:val="24"/>
              </w:rPr>
              <w:t>27</w:t>
            </w:r>
            <w:r>
              <w:rPr>
                <w:rFonts w:ascii="宋体" w:hAnsi="宋体" w:eastAsia="宋体" w:cs="宋体"/>
                <w:color w:val="333333"/>
                <w:w w:val="97"/>
                <w:sz w:val="24"/>
                <w:szCs w:val="24"/>
              </w:rPr>
              <w:t>、行业协会商</w:t>
            </w:r>
          </w:p>
        </w:tc>
        <w:tc>
          <w:tcPr>
            <w:tcW w:w="10620" w:type="dxa"/>
            <w:tcBorders>
              <w:right w:val="single" w:color="auto" w:sz="8" w:space="0"/>
            </w:tcBorders>
            <w:vAlign w:val="bottom"/>
          </w:tcPr>
          <w:p>
            <w:pPr>
              <w:spacing w:after="0" w:line="292" w:lineRule="exact"/>
              <w:ind w:left="580"/>
              <w:rPr>
                <w:color w:val="auto"/>
                <w:sz w:val="20"/>
                <w:szCs w:val="20"/>
              </w:rPr>
            </w:pPr>
            <w:r>
              <w:rPr>
                <w:rFonts w:ascii="Times New Roman" w:hAnsi="Times New Roman" w:eastAsia="Times New Roman" w:cs="Times New Roman"/>
                <w:b/>
                <w:bCs/>
                <w:color w:val="333333"/>
                <w:w w:val="98"/>
                <w:sz w:val="24"/>
                <w:szCs w:val="24"/>
              </w:rPr>
              <w:t>1</w:t>
            </w:r>
            <w:r>
              <w:rPr>
                <w:rFonts w:ascii="宋体" w:hAnsi="宋体" w:eastAsia="宋体" w:cs="宋体"/>
                <w:b/>
                <w:bCs/>
                <w:color w:val="333333"/>
                <w:w w:val="98"/>
                <w:sz w:val="24"/>
                <w:szCs w:val="24"/>
              </w:rPr>
              <w:t>、《国务院关于建立完善守信联合激励和失信联合惩戒制度加快推进社会诚信建设的指导意见</w:t>
            </w:r>
            <w:r>
              <w:rPr>
                <w:rFonts w:ascii="宋体" w:hAnsi="宋体" w:eastAsia="宋体" w:cs="宋体"/>
                <w:color w:val="333333"/>
                <w:w w:val="98"/>
                <w:sz w:val="24"/>
                <w:szCs w:val="24"/>
              </w:rPr>
              <w:t>》</w:t>
            </w:r>
          </w:p>
        </w:tc>
        <w:tc>
          <w:tcPr>
            <w:tcW w:w="142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3" w:hRule="atLeast"/>
        </w:trPr>
        <w:tc>
          <w:tcPr>
            <w:tcW w:w="1800" w:type="dxa"/>
            <w:vMerge w:val="continue"/>
            <w:tcBorders>
              <w:left w:val="single" w:color="auto" w:sz="8" w:space="0"/>
              <w:right w:val="single" w:color="auto" w:sz="8" w:space="0"/>
            </w:tcBorders>
            <w:vAlign w:val="bottom"/>
          </w:tcPr>
          <w:p>
            <w:pPr>
              <w:spacing w:after="0"/>
              <w:rPr>
                <w:color w:val="auto"/>
                <w:sz w:val="15"/>
                <w:szCs w:val="15"/>
              </w:rPr>
            </w:pPr>
          </w:p>
        </w:tc>
        <w:tc>
          <w:tcPr>
            <w:tcW w:w="10620" w:type="dxa"/>
            <w:vMerge w:val="restart"/>
            <w:tcBorders>
              <w:right w:val="single" w:color="auto" w:sz="8" w:space="0"/>
            </w:tcBorders>
            <w:vAlign w:val="bottom"/>
          </w:tcPr>
          <w:p>
            <w:pPr>
              <w:spacing w:after="0" w:line="274" w:lineRule="exact"/>
              <w:ind w:left="580"/>
              <w:rPr>
                <w:color w:val="auto"/>
                <w:sz w:val="20"/>
                <w:szCs w:val="20"/>
              </w:rPr>
            </w:pPr>
            <w:r>
              <w:rPr>
                <w:rFonts w:ascii="宋体" w:hAnsi="宋体" w:eastAsia="宋体" w:cs="宋体"/>
                <w:color w:val="333333"/>
                <w:sz w:val="24"/>
                <w:szCs w:val="24"/>
              </w:rPr>
              <w:t>（十二）加强对失信行为的行业性约束和惩戒。建立健全行业自律公约和职业道德准则，推动</w:t>
            </w:r>
          </w:p>
        </w:tc>
        <w:tc>
          <w:tcPr>
            <w:tcW w:w="1420" w:type="dxa"/>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64" w:hRule="atLeast"/>
        </w:trPr>
        <w:tc>
          <w:tcPr>
            <w:tcW w:w="1800" w:type="dxa"/>
            <w:vMerge w:val="restart"/>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会对会员失信</w:t>
            </w:r>
          </w:p>
        </w:tc>
        <w:tc>
          <w:tcPr>
            <w:tcW w:w="10620" w:type="dxa"/>
            <w:vMerge w:val="continue"/>
            <w:tcBorders>
              <w:right w:val="single" w:color="auto" w:sz="8" w:space="0"/>
            </w:tcBorders>
            <w:vAlign w:val="bottom"/>
          </w:tcPr>
          <w:p>
            <w:pPr>
              <w:spacing w:after="0"/>
              <w:rPr>
                <w:color w:val="auto"/>
                <w:sz w:val="14"/>
                <w:szCs w:val="14"/>
              </w:rPr>
            </w:pPr>
          </w:p>
        </w:tc>
        <w:tc>
          <w:tcPr>
            <w:tcW w:w="1420" w:type="dxa"/>
            <w:vMerge w:val="restart"/>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运输物流行</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5" w:hRule="atLeast"/>
        </w:trPr>
        <w:tc>
          <w:tcPr>
            <w:tcW w:w="1800" w:type="dxa"/>
            <w:vMerge w:val="continue"/>
            <w:tcBorders>
              <w:left w:val="single" w:color="auto" w:sz="8" w:space="0"/>
              <w:right w:val="single" w:color="auto" w:sz="8" w:space="0"/>
            </w:tcBorders>
            <w:vAlign w:val="bottom"/>
          </w:tcPr>
          <w:p>
            <w:pPr>
              <w:spacing w:after="0"/>
              <w:rPr>
                <w:color w:val="auto"/>
                <w:sz w:val="15"/>
                <w:szCs w:val="15"/>
              </w:rPr>
            </w:pPr>
          </w:p>
        </w:tc>
        <w:tc>
          <w:tcPr>
            <w:tcW w:w="10620" w:type="dxa"/>
            <w:vMerge w:val="restart"/>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行业信用建设。引导行业协会商会完善行业内部信用信息采集、共享机制，将严重失信行为记入会</w:t>
            </w:r>
          </w:p>
        </w:tc>
        <w:tc>
          <w:tcPr>
            <w:tcW w:w="1420" w:type="dxa"/>
            <w:vMerge w:val="continue"/>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5" w:hRule="atLeast"/>
        </w:trPr>
        <w:tc>
          <w:tcPr>
            <w:tcW w:w="1800" w:type="dxa"/>
            <w:vMerge w:val="restart"/>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w w:val="97"/>
                <w:sz w:val="24"/>
                <w:szCs w:val="24"/>
              </w:rPr>
              <w:t>行为进行警告、</w:t>
            </w:r>
          </w:p>
        </w:tc>
        <w:tc>
          <w:tcPr>
            <w:tcW w:w="10620" w:type="dxa"/>
            <w:vMerge w:val="continue"/>
            <w:tcBorders>
              <w:right w:val="single" w:color="auto" w:sz="8" w:space="0"/>
            </w:tcBorders>
            <w:vAlign w:val="bottom"/>
          </w:tcPr>
          <w:p>
            <w:pPr>
              <w:spacing w:after="0"/>
              <w:rPr>
                <w:color w:val="auto"/>
                <w:sz w:val="15"/>
                <w:szCs w:val="15"/>
              </w:rPr>
            </w:pPr>
          </w:p>
        </w:tc>
        <w:tc>
          <w:tcPr>
            <w:tcW w:w="1420" w:type="dxa"/>
            <w:vMerge w:val="restart"/>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w w:val="96"/>
                <w:sz w:val="24"/>
                <w:szCs w:val="24"/>
              </w:rPr>
              <w:t>业 相 关 协</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3" w:hRule="atLeast"/>
        </w:trPr>
        <w:tc>
          <w:tcPr>
            <w:tcW w:w="1800" w:type="dxa"/>
            <w:vMerge w:val="continue"/>
            <w:tcBorders>
              <w:left w:val="single" w:color="auto" w:sz="8" w:space="0"/>
              <w:right w:val="single" w:color="auto" w:sz="8" w:space="0"/>
            </w:tcBorders>
            <w:vAlign w:val="bottom"/>
          </w:tcPr>
          <w:p>
            <w:pPr>
              <w:spacing w:after="0"/>
              <w:rPr>
                <w:color w:val="auto"/>
                <w:sz w:val="15"/>
                <w:szCs w:val="15"/>
              </w:rPr>
            </w:pPr>
          </w:p>
        </w:tc>
        <w:tc>
          <w:tcPr>
            <w:tcW w:w="10620" w:type="dxa"/>
            <w:vMerge w:val="restart"/>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w w:val="99"/>
                <w:sz w:val="24"/>
                <w:szCs w:val="24"/>
              </w:rPr>
              <w:t>员信用档案。鼓励行业协会商会与有资质的第三方信用服务机构合作，开展会员企业信用等级评价。</w:t>
            </w:r>
          </w:p>
        </w:tc>
        <w:tc>
          <w:tcPr>
            <w:tcW w:w="1420" w:type="dxa"/>
            <w:vMerge w:val="continue"/>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8" w:hRule="atLeast"/>
        </w:trPr>
        <w:tc>
          <w:tcPr>
            <w:tcW w:w="1800" w:type="dxa"/>
            <w:vMerge w:val="restart"/>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w w:val="97"/>
                <w:sz w:val="24"/>
                <w:szCs w:val="24"/>
              </w:rPr>
              <w:t>通报批评、公开</w:t>
            </w:r>
          </w:p>
        </w:tc>
        <w:tc>
          <w:tcPr>
            <w:tcW w:w="10620" w:type="dxa"/>
            <w:vMerge w:val="continue"/>
            <w:tcBorders>
              <w:right w:val="single" w:color="auto" w:sz="8" w:space="0"/>
            </w:tcBorders>
            <w:vAlign w:val="bottom"/>
          </w:tcPr>
          <w:p>
            <w:pPr>
              <w:spacing w:after="0"/>
              <w:rPr>
                <w:color w:val="auto"/>
                <w:sz w:val="15"/>
                <w:szCs w:val="15"/>
              </w:rPr>
            </w:pPr>
          </w:p>
        </w:tc>
        <w:tc>
          <w:tcPr>
            <w:tcW w:w="1420" w:type="dxa"/>
            <w:vMerge w:val="restart"/>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会、商会</w:t>
            </w: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5" w:hRule="atLeast"/>
        </w:trPr>
        <w:tc>
          <w:tcPr>
            <w:tcW w:w="1800" w:type="dxa"/>
            <w:vMerge w:val="continue"/>
            <w:tcBorders>
              <w:left w:val="single" w:color="auto" w:sz="8" w:space="0"/>
              <w:right w:val="single" w:color="auto" w:sz="8" w:space="0"/>
            </w:tcBorders>
            <w:vAlign w:val="bottom"/>
          </w:tcPr>
          <w:p>
            <w:pPr>
              <w:spacing w:after="0"/>
              <w:rPr>
                <w:color w:val="auto"/>
                <w:sz w:val="15"/>
                <w:szCs w:val="15"/>
              </w:rPr>
            </w:pPr>
          </w:p>
        </w:tc>
        <w:tc>
          <w:tcPr>
            <w:tcW w:w="10620" w:type="dxa"/>
            <w:vMerge w:val="restart"/>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支持行业协会商会按照行业标准、行规、行约等，视情节轻重对失信会员实行警告、行业内通报批</w:t>
            </w:r>
          </w:p>
        </w:tc>
        <w:tc>
          <w:tcPr>
            <w:tcW w:w="1420" w:type="dxa"/>
            <w:vMerge w:val="continue"/>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5" w:hRule="atLeast"/>
        </w:trPr>
        <w:tc>
          <w:tcPr>
            <w:tcW w:w="1800" w:type="dxa"/>
            <w:vMerge w:val="restart"/>
            <w:tcBorders>
              <w:left w:val="single" w:color="auto" w:sz="8" w:space="0"/>
              <w:right w:val="single" w:color="auto" w:sz="8" w:space="0"/>
            </w:tcBorders>
            <w:vAlign w:val="bottom"/>
          </w:tcPr>
          <w:p>
            <w:pPr>
              <w:spacing w:after="0" w:line="274" w:lineRule="exact"/>
              <w:ind w:left="120"/>
              <w:rPr>
                <w:color w:val="auto"/>
                <w:sz w:val="20"/>
                <w:szCs w:val="20"/>
              </w:rPr>
            </w:pPr>
            <w:r>
              <w:rPr>
                <w:rFonts w:ascii="宋体" w:hAnsi="宋体" w:eastAsia="宋体" w:cs="宋体"/>
                <w:color w:val="333333"/>
                <w:sz w:val="24"/>
                <w:szCs w:val="24"/>
              </w:rPr>
              <w:t>谴责等。</w:t>
            </w:r>
          </w:p>
        </w:tc>
        <w:tc>
          <w:tcPr>
            <w:tcW w:w="10620" w:type="dxa"/>
            <w:vMerge w:val="continue"/>
            <w:tcBorders>
              <w:right w:val="single" w:color="auto" w:sz="8" w:space="0"/>
            </w:tcBorders>
            <w:vAlign w:val="bottom"/>
          </w:tcPr>
          <w:p>
            <w:pPr>
              <w:spacing w:after="0"/>
              <w:rPr>
                <w:color w:val="auto"/>
                <w:sz w:val="15"/>
                <w:szCs w:val="15"/>
              </w:rPr>
            </w:pPr>
          </w:p>
        </w:tc>
        <w:tc>
          <w:tcPr>
            <w:tcW w:w="1420" w:type="dxa"/>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3" w:hRule="atLeast"/>
        </w:trPr>
        <w:tc>
          <w:tcPr>
            <w:tcW w:w="1800" w:type="dxa"/>
            <w:vMerge w:val="continue"/>
            <w:tcBorders>
              <w:left w:val="single" w:color="auto" w:sz="8" w:space="0"/>
              <w:right w:val="single" w:color="auto" w:sz="8" w:space="0"/>
            </w:tcBorders>
            <w:vAlign w:val="bottom"/>
          </w:tcPr>
          <w:p>
            <w:pPr>
              <w:spacing w:after="0"/>
              <w:rPr>
                <w:color w:val="auto"/>
                <w:sz w:val="15"/>
                <w:szCs w:val="15"/>
              </w:rPr>
            </w:pPr>
          </w:p>
        </w:tc>
        <w:tc>
          <w:tcPr>
            <w:tcW w:w="10620" w:type="dxa"/>
            <w:vMerge w:val="restart"/>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333333"/>
                <w:sz w:val="24"/>
                <w:szCs w:val="24"/>
              </w:rPr>
              <w:t>评、公开谴责、不予接纳、劝退等惩戒措施。</w:t>
            </w:r>
          </w:p>
        </w:tc>
        <w:tc>
          <w:tcPr>
            <w:tcW w:w="1420" w:type="dxa"/>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78" w:hRule="atLeast"/>
        </w:trPr>
        <w:tc>
          <w:tcPr>
            <w:tcW w:w="1800" w:type="dxa"/>
            <w:tcBorders>
              <w:left w:val="single" w:color="auto" w:sz="8" w:space="0"/>
              <w:right w:val="single" w:color="auto" w:sz="8" w:space="0"/>
            </w:tcBorders>
            <w:vAlign w:val="bottom"/>
          </w:tcPr>
          <w:p>
            <w:pPr>
              <w:spacing w:after="0"/>
              <w:rPr>
                <w:color w:val="auto"/>
                <w:sz w:val="15"/>
                <w:szCs w:val="15"/>
              </w:rPr>
            </w:pPr>
          </w:p>
        </w:tc>
        <w:tc>
          <w:tcPr>
            <w:tcW w:w="10620" w:type="dxa"/>
            <w:vMerge w:val="continue"/>
            <w:tcBorders>
              <w:right w:val="single" w:color="auto" w:sz="8" w:space="0"/>
            </w:tcBorders>
            <w:vAlign w:val="bottom"/>
          </w:tcPr>
          <w:p>
            <w:pPr>
              <w:spacing w:after="0"/>
              <w:rPr>
                <w:color w:val="auto"/>
                <w:sz w:val="15"/>
                <w:szCs w:val="15"/>
              </w:rPr>
            </w:pPr>
          </w:p>
        </w:tc>
        <w:tc>
          <w:tcPr>
            <w:tcW w:w="1420" w:type="dxa"/>
            <w:tcBorders>
              <w:right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42" w:hRule="atLeast"/>
        </w:trPr>
        <w:tc>
          <w:tcPr>
            <w:tcW w:w="1800" w:type="dxa"/>
            <w:tcBorders>
              <w:left w:val="single" w:color="auto" w:sz="8" w:space="0"/>
              <w:bottom w:val="single" w:color="auto" w:sz="8" w:space="0"/>
              <w:right w:val="single" w:color="auto" w:sz="8" w:space="0"/>
            </w:tcBorders>
            <w:vAlign w:val="bottom"/>
          </w:tcPr>
          <w:p>
            <w:pPr>
              <w:spacing w:after="0"/>
              <w:rPr>
                <w:color w:val="auto"/>
                <w:sz w:val="3"/>
                <w:szCs w:val="3"/>
              </w:rPr>
            </w:pPr>
          </w:p>
        </w:tc>
        <w:tc>
          <w:tcPr>
            <w:tcW w:w="10620" w:type="dxa"/>
            <w:tcBorders>
              <w:bottom w:val="single" w:color="auto" w:sz="8" w:space="0"/>
              <w:right w:val="single" w:color="auto" w:sz="8" w:space="0"/>
            </w:tcBorders>
            <w:vAlign w:val="bottom"/>
          </w:tcPr>
          <w:p>
            <w:pPr>
              <w:spacing w:after="0"/>
              <w:rPr>
                <w:color w:val="auto"/>
                <w:sz w:val="3"/>
                <w:szCs w:val="3"/>
              </w:rPr>
            </w:pPr>
          </w:p>
        </w:tc>
        <w:tc>
          <w:tcPr>
            <w:tcW w:w="1420" w:type="dxa"/>
            <w:tcBorders>
              <w:bottom w:val="single" w:color="auto" w:sz="8" w:space="0"/>
              <w:right w:val="single" w:color="auto" w:sz="8" w:space="0"/>
            </w:tcBorders>
            <w:vAlign w:val="bottom"/>
          </w:tcPr>
          <w:p>
            <w:pPr>
              <w:spacing w:after="0"/>
              <w:rPr>
                <w:color w:val="auto"/>
                <w:sz w:val="3"/>
                <w:szCs w:val="3"/>
              </w:rPr>
            </w:pPr>
          </w:p>
        </w:tc>
        <w:tc>
          <w:tcPr>
            <w:tcW w:w="0" w:type="dxa"/>
            <w:vAlign w:val="bottom"/>
          </w:tcPr>
          <w:p>
            <w:pPr>
              <w:spacing w:after="0"/>
              <w:rPr>
                <w:color w:val="auto"/>
                <w:sz w:val="1"/>
                <w:szCs w:val="1"/>
              </w:rPr>
            </w:pPr>
          </w:p>
        </w:tc>
      </w:tr>
    </w:tbl>
    <w:p>
      <w:pPr>
        <w:spacing w:after="0" w:line="200" w:lineRule="exact"/>
        <w:rPr>
          <w:color w:val="auto"/>
          <w:sz w:val="20"/>
          <w:szCs w:val="20"/>
        </w:rPr>
      </w:pPr>
    </w:p>
    <w:p>
      <w:pPr>
        <w:sectPr>
          <w:pgSz w:w="16840" w:h="11906" w:orient="landscape"/>
          <w:pgMar w:top="1440" w:right="1440" w:bottom="808" w:left="1440" w:header="0" w:footer="0" w:gutter="0"/>
          <w:cols w:equalWidth="0" w:num="1">
            <w:col w:w="13958"/>
          </w:cols>
        </w:sect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13" w:lineRule="exact"/>
        <w:rPr>
          <w:color w:val="auto"/>
          <w:sz w:val="20"/>
          <w:szCs w:val="20"/>
        </w:rPr>
      </w:pPr>
    </w:p>
    <w:p>
      <w:pPr>
        <w:spacing w:after="0"/>
        <w:ind w:right="-1"/>
        <w:jc w:val="center"/>
        <w:rPr>
          <w:rFonts w:hint="eastAsia" w:eastAsia="宋体"/>
          <w:lang w:val="en-US" w:eastAsia="zh-CN"/>
        </w:rPr>
        <w:sectPr>
          <w:type w:val="continuous"/>
          <w:pgSz w:w="16840" w:h="11906" w:orient="landscape"/>
          <w:pgMar w:top="1440" w:right="1440" w:bottom="808" w:left="1440" w:header="0" w:footer="0" w:gutter="0"/>
          <w:cols w:equalWidth="0" w:num="1">
            <w:col w:w="13958"/>
          </w:cols>
        </w:sectPr>
      </w:pPr>
      <w:r>
        <w:rPr>
          <w:rFonts w:ascii="Times New Roman" w:hAnsi="Times New Roman" w:eastAsia="Times New Roman" w:cs="Times New Roman"/>
          <w:color w:val="auto"/>
          <w:sz w:val="24"/>
          <w:szCs w:val="24"/>
        </w:rPr>
        <w:t>1</w:t>
      </w:r>
      <w:r>
        <w:rPr>
          <w:rFonts w:hint="eastAsia" w:ascii="Times New Roman" w:hAnsi="Times New Roman" w:eastAsia="宋体" w:cs="Times New Roman"/>
          <w:color w:val="auto"/>
          <w:sz w:val="24"/>
          <w:szCs w:val="24"/>
          <w:lang w:val="en-US" w:eastAsia="zh-CN"/>
        </w:rPr>
        <w:t>9</w:t>
      </w:r>
    </w:p>
    <w:p>
      <w:pPr>
        <w:spacing w:after="0" w:line="343" w:lineRule="exact"/>
        <w:rPr>
          <w:color w:val="auto"/>
          <w:sz w:val="20"/>
          <w:szCs w:val="20"/>
        </w:rPr>
      </w:pPr>
      <w:bookmarkStart w:id="18" w:name="page26"/>
      <w:bookmarkEnd w:id="18"/>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264B3A"/>
    <w:rsid w:val="7C264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2"/>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2020-07-31T07:44:00Z</dcterms:created>
  <dc:creator>(  )</dc:creator>
  <cp:lastModifiedBy>(  )</cp:lastModifiedBy>
  <dcterms:modified xsi:type="dcterms:W3CDTF">2020-07-31T07:47:04Z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