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660" w:lineRule="exact"/>
        <w:jc w:val="both"/>
        <w:textAlignment w:val="auto"/>
        <w:rPr>
          <w:rFonts w:hint="default" w:ascii="Times New Roman" w:hAnsi="Times New Roman" w:eastAsia="黑体" w:cs="Times New Roman"/>
          <w:b w:val="0"/>
          <w:bCs w:val="0"/>
          <w:color w:val="auto"/>
          <w:sz w:val="32"/>
          <w:szCs w:val="32"/>
          <w:lang w:val="en-US" w:eastAsia="zh-CN"/>
        </w:rPr>
      </w:pPr>
      <w:r>
        <w:rPr>
          <w:rFonts w:hint="default" w:ascii="Times New Roman" w:hAnsi="Times New Roman" w:eastAsia="黑体" w:cs="Times New Roman"/>
          <w:b w:val="0"/>
          <w:bCs w:val="0"/>
          <w:color w:val="auto"/>
          <w:sz w:val="32"/>
          <w:szCs w:val="32"/>
          <w:lang w:val="en-US" w:eastAsia="zh-CN"/>
        </w:rPr>
        <w:t>附件1</w:t>
      </w:r>
    </w:p>
    <w:p>
      <w:pPr>
        <w:rPr>
          <w:rFonts w:hint="default" w:ascii="Times New Roman" w:hAnsi="Times New Roman" w:cs="Times New Roman"/>
          <w:color w:val="auto"/>
          <w:lang w:val="en-US" w:eastAsia="zh-CN"/>
        </w:rPr>
      </w:pPr>
    </w:p>
    <w:p>
      <w:pPr>
        <w:keepNext w:val="0"/>
        <w:keepLines w:val="0"/>
        <w:pageBreakBefore w:val="0"/>
        <w:widowControl w:val="0"/>
        <w:kinsoku/>
        <w:wordWrap/>
        <w:overflowPunct/>
        <w:topLinePunct w:val="0"/>
        <w:autoSpaceDE/>
        <w:autoSpaceDN/>
        <w:bidi w:val="0"/>
        <w:adjustRightInd/>
        <w:snapToGrid/>
        <w:spacing w:line="660" w:lineRule="exact"/>
        <w:jc w:val="center"/>
        <w:textAlignment w:val="auto"/>
        <w:rPr>
          <w:rFonts w:hint="default" w:ascii="Times New Roman" w:hAnsi="Times New Roman" w:eastAsia="方正小标宋简体" w:cs="Times New Roman"/>
          <w:b w:val="0"/>
          <w:bCs w:val="0"/>
          <w:color w:val="auto"/>
          <w:sz w:val="44"/>
          <w:szCs w:val="44"/>
          <w:lang w:val="en-US" w:eastAsia="zh-CN"/>
        </w:rPr>
      </w:pPr>
      <w:r>
        <w:rPr>
          <w:rFonts w:hint="default" w:ascii="Times New Roman" w:hAnsi="Times New Roman" w:eastAsia="方正小标宋简体" w:cs="Times New Roman"/>
          <w:b w:val="0"/>
          <w:bCs w:val="0"/>
          <w:color w:val="auto"/>
          <w:sz w:val="44"/>
          <w:szCs w:val="44"/>
          <w:lang w:val="en-US" w:eastAsia="zh-CN"/>
        </w:rPr>
        <w:t>联合奖惩操作说明</w:t>
      </w:r>
    </w:p>
    <w:p>
      <w:pPr>
        <w:keepNext w:val="0"/>
        <w:keepLines w:val="0"/>
        <w:pageBreakBefore w:val="0"/>
        <w:widowControl w:val="0"/>
        <w:kinsoku/>
        <w:wordWrap/>
        <w:overflowPunct/>
        <w:topLinePunct w:val="0"/>
        <w:autoSpaceDE/>
        <w:autoSpaceDN/>
        <w:bidi w:val="0"/>
        <w:adjustRightInd/>
        <w:snapToGrid/>
        <w:spacing w:line="660" w:lineRule="exact"/>
        <w:jc w:val="left"/>
        <w:textAlignment w:val="auto"/>
        <w:rPr>
          <w:rFonts w:hint="default" w:ascii="Times New Roman" w:hAnsi="Times New Roman" w:eastAsia="方正小标宋简体" w:cs="Times New Roman"/>
          <w:color w:val="auto"/>
          <w:sz w:val="44"/>
          <w:szCs w:val="44"/>
          <w:lang w:val="en-US" w:eastAsia="zh-CN"/>
        </w:rPr>
      </w:pPr>
    </w:p>
    <w:p>
      <w:pPr>
        <w:keepNext w:val="0"/>
        <w:keepLines w:val="0"/>
        <w:pageBreakBefore w:val="0"/>
        <w:widowControl w:val="0"/>
        <w:kinsoku/>
        <w:wordWrap/>
        <w:overflowPunct/>
        <w:topLinePunct/>
        <w:autoSpaceDE/>
        <w:autoSpaceDN/>
        <w:bidi w:val="0"/>
        <w:spacing w:line="560" w:lineRule="exact"/>
        <w:ind w:firstLine="640" w:firstLineChars="200"/>
        <w:jc w:val="left"/>
        <w:textAlignment w:val="auto"/>
        <w:rPr>
          <w:rFonts w:hint="default" w:ascii="Times New Roman" w:hAnsi="Times New Roman" w:eastAsia="黑体" w:cs="Times New Roman"/>
          <w:color w:val="auto"/>
          <w:sz w:val="32"/>
          <w:szCs w:val="32"/>
          <w:lang w:val="en-US" w:eastAsia="zh-CN"/>
        </w:rPr>
      </w:pPr>
      <w:r>
        <w:rPr>
          <w:rFonts w:hint="default" w:ascii="Times New Roman" w:hAnsi="Times New Roman" w:eastAsia="黑体" w:cs="Times New Roman"/>
          <w:color w:val="auto"/>
          <w:sz w:val="32"/>
          <w:szCs w:val="32"/>
          <w:lang w:val="en-US" w:eastAsia="zh-CN"/>
        </w:rPr>
        <w:t>一、规范开展联合奖惩工作</w:t>
      </w:r>
    </w:p>
    <w:p>
      <w:pPr>
        <w:keepNext w:val="0"/>
        <w:keepLines w:val="0"/>
        <w:widowControl/>
        <w:suppressLineNumbers w:val="0"/>
        <w:ind w:firstLine="640" w:firstLineChars="200"/>
        <w:jc w:val="left"/>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请各部门按照</w:t>
      </w:r>
      <w:r>
        <w:rPr>
          <w:rFonts w:hint="default" w:ascii="Times New Roman" w:hAnsi="Times New Roman" w:eastAsia="仿宋_GB2312" w:cs="Times New Roman"/>
          <w:color w:val="auto"/>
          <w:kern w:val="0"/>
          <w:sz w:val="32"/>
          <w:szCs w:val="32"/>
          <w:lang w:val="en-US" w:eastAsia="zh-CN"/>
        </w:rPr>
        <w:t>《梧州市</w:t>
      </w:r>
      <w:r>
        <w:rPr>
          <w:rFonts w:hint="eastAsia" w:ascii="Times New Roman" w:hAnsi="Times New Roman" w:eastAsia="仿宋_GB2312" w:cs="Times New Roman"/>
          <w:color w:val="auto"/>
          <w:kern w:val="0"/>
          <w:sz w:val="32"/>
          <w:szCs w:val="32"/>
          <w:lang w:val="en-US" w:eastAsia="zh-CN"/>
        </w:rPr>
        <w:t>守信联合激励和失信</w:t>
      </w:r>
      <w:r>
        <w:rPr>
          <w:rFonts w:hint="default" w:ascii="Times New Roman" w:hAnsi="Times New Roman" w:eastAsia="仿宋_GB2312" w:cs="Times New Roman"/>
          <w:color w:val="auto"/>
          <w:kern w:val="0"/>
          <w:sz w:val="32"/>
          <w:szCs w:val="32"/>
          <w:lang w:val="en-US" w:eastAsia="zh-CN"/>
        </w:rPr>
        <w:t>联合</w:t>
      </w:r>
      <w:r>
        <w:rPr>
          <w:rFonts w:hint="eastAsia" w:ascii="Times New Roman" w:hAnsi="Times New Roman" w:eastAsia="仿宋_GB2312" w:cs="Times New Roman"/>
          <w:color w:val="auto"/>
          <w:kern w:val="0"/>
          <w:sz w:val="32"/>
          <w:szCs w:val="32"/>
          <w:lang w:val="en-US" w:eastAsia="zh-CN"/>
        </w:rPr>
        <w:t>惩戒对</w:t>
      </w:r>
      <w:r>
        <w:rPr>
          <w:rFonts w:hint="default" w:ascii="Times New Roman" w:hAnsi="Times New Roman" w:eastAsia="仿宋_GB2312" w:cs="Times New Roman"/>
          <w:color w:val="auto"/>
          <w:kern w:val="0"/>
          <w:sz w:val="32"/>
          <w:szCs w:val="32"/>
          <w:lang w:val="en-US" w:eastAsia="zh-CN"/>
        </w:rPr>
        <w:t>象清单（第一批）》</w:t>
      </w:r>
      <w:r>
        <w:rPr>
          <w:rFonts w:ascii="仿宋_GB2312" w:hAnsi="宋体" w:eastAsia="仿宋_GB2312" w:cs="仿宋_GB2312"/>
          <w:color w:val="000000"/>
          <w:kern w:val="0"/>
          <w:sz w:val="31"/>
          <w:szCs w:val="31"/>
          <w:lang w:val="en-US" w:eastAsia="zh-CN" w:bidi="ar"/>
        </w:rPr>
        <w:t xml:space="preserve">（以下简称 </w:t>
      </w:r>
      <w:r>
        <w:rPr>
          <w:rFonts w:hint="eastAsia" w:ascii="仿宋_GB2312" w:hAnsi="宋体" w:eastAsia="仿宋_GB2312" w:cs="仿宋_GB2312"/>
          <w:color w:val="000000"/>
          <w:kern w:val="0"/>
          <w:sz w:val="31"/>
          <w:szCs w:val="31"/>
          <w:lang w:val="en-US" w:eastAsia="zh-CN" w:bidi="ar"/>
        </w:rPr>
        <w:t>《对象清单》）、</w:t>
      </w:r>
      <w:r>
        <w:rPr>
          <w:rFonts w:hint="default" w:ascii="Times New Roman" w:hAnsi="Times New Roman" w:eastAsia="仿宋_GB2312" w:cs="Times New Roman"/>
          <w:color w:val="auto"/>
          <w:kern w:val="0"/>
          <w:sz w:val="32"/>
          <w:szCs w:val="32"/>
          <w:lang w:val="en-US" w:eastAsia="zh-CN"/>
        </w:rPr>
        <w:t>《梧州市</w:t>
      </w:r>
      <w:r>
        <w:rPr>
          <w:rFonts w:hint="eastAsia" w:ascii="Times New Roman" w:hAnsi="Times New Roman" w:eastAsia="仿宋_GB2312" w:cs="Times New Roman"/>
          <w:color w:val="auto"/>
          <w:kern w:val="0"/>
          <w:sz w:val="32"/>
          <w:szCs w:val="32"/>
          <w:lang w:val="en-US" w:eastAsia="zh-CN"/>
        </w:rPr>
        <w:t>守信联合激励和失信</w:t>
      </w:r>
      <w:r>
        <w:rPr>
          <w:rFonts w:hint="default" w:ascii="Times New Roman" w:hAnsi="Times New Roman" w:eastAsia="仿宋_GB2312" w:cs="Times New Roman"/>
          <w:color w:val="auto"/>
          <w:kern w:val="0"/>
          <w:sz w:val="32"/>
          <w:szCs w:val="32"/>
          <w:lang w:val="en-US" w:eastAsia="zh-CN"/>
        </w:rPr>
        <w:t>联合</w:t>
      </w:r>
      <w:r>
        <w:rPr>
          <w:rFonts w:hint="eastAsia" w:ascii="Times New Roman" w:hAnsi="Times New Roman" w:eastAsia="仿宋_GB2312" w:cs="Times New Roman"/>
          <w:color w:val="auto"/>
          <w:kern w:val="0"/>
          <w:sz w:val="32"/>
          <w:szCs w:val="32"/>
          <w:lang w:val="en-US" w:eastAsia="zh-CN"/>
        </w:rPr>
        <w:t>惩戒</w:t>
      </w:r>
      <w:r>
        <w:rPr>
          <w:rFonts w:hint="default" w:ascii="Times New Roman" w:hAnsi="Times New Roman" w:eastAsia="仿宋_GB2312" w:cs="Times New Roman"/>
          <w:color w:val="auto"/>
          <w:kern w:val="0"/>
          <w:sz w:val="32"/>
          <w:szCs w:val="32"/>
          <w:lang w:val="en-US" w:eastAsia="zh-CN"/>
        </w:rPr>
        <w:t>措施清单（第一批）》</w:t>
      </w:r>
      <w:r>
        <w:rPr>
          <w:rFonts w:ascii="仿宋_GB2312" w:hAnsi="宋体" w:eastAsia="仿宋_GB2312" w:cs="仿宋_GB2312"/>
          <w:color w:val="000000"/>
          <w:kern w:val="0"/>
          <w:sz w:val="31"/>
          <w:szCs w:val="31"/>
          <w:lang w:val="en-US" w:eastAsia="zh-CN" w:bidi="ar"/>
        </w:rPr>
        <w:t>（以下简称《措施清单》）</w:t>
      </w:r>
      <w:r>
        <w:rPr>
          <w:rFonts w:hint="eastAsia" w:ascii="仿宋" w:hAnsi="仿宋" w:eastAsia="仿宋" w:cs="仿宋"/>
          <w:color w:val="auto"/>
          <w:sz w:val="32"/>
          <w:szCs w:val="32"/>
          <w:lang w:val="en-US" w:eastAsia="zh-CN"/>
        </w:rPr>
        <w:t>中本部门工作范围，开展守信联合激励与失信联合惩戒工作，在联合奖惩措施事项发生时，请在“信用中国”</w:t>
      </w:r>
      <w:r>
        <w:rPr>
          <w:rFonts w:hint="eastAsia" w:ascii="仿宋" w:hAnsi="仿宋" w:eastAsia="仿宋" w:cs="仿宋"/>
          <w:color w:val="auto"/>
          <w:sz w:val="32"/>
          <w:szCs w:val="32"/>
          <w:lang w:val="en-US" w:eastAsia="zh-CN"/>
        </w:rPr>
        <w:fldChar w:fldCharType="begin"/>
      </w:r>
      <w:r>
        <w:rPr>
          <w:rFonts w:hint="eastAsia" w:ascii="仿宋" w:hAnsi="仿宋" w:eastAsia="仿宋" w:cs="仿宋"/>
          <w:color w:val="auto"/>
          <w:sz w:val="32"/>
          <w:szCs w:val="32"/>
          <w:lang w:val="en-US" w:eastAsia="zh-CN"/>
        </w:rPr>
        <w:instrText xml:space="preserve"> HYPERLINK "https://www.creditchina.gov.cn/xinyongfuwu/?navPage=4），查询行政相对人是否属于\“守信激励对象\”或\“失信惩戒对象\”，对确属于联合奖惩对象的行政相对人主体启动联合奖惩措施。如需批量查询多个市场主体是否是联合奖惩对象，可以发函到市发展改革委，我委将协助做好相关查询工作。" </w:instrText>
      </w:r>
      <w:r>
        <w:rPr>
          <w:rFonts w:hint="eastAsia" w:ascii="仿宋" w:hAnsi="仿宋" w:eastAsia="仿宋" w:cs="仿宋"/>
          <w:color w:val="auto"/>
          <w:sz w:val="32"/>
          <w:szCs w:val="32"/>
          <w:lang w:val="en-US" w:eastAsia="zh-CN"/>
        </w:rPr>
        <w:fldChar w:fldCharType="separate"/>
      </w:r>
      <w:r>
        <w:rPr>
          <w:rFonts w:hint="eastAsia" w:ascii="仿宋" w:hAnsi="仿宋" w:eastAsia="仿宋" w:cs="仿宋"/>
          <w:color w:val="auto"/>
          <w:sz w:val="32"/>
          <w:szCs w:val="32"/>
          <w:lang w:val="en-US" w:eastAsia="zh-CN"/>
        </w:rPr>
        <w:t>网站查询行政相对人是否属于“守信激励对象”或“失信惩戒对象”，对确属于联合奖惩对象的行政相对人主体启动联合奖惩措施。如需批量查询多个市场主体是否是联合奖惩对象，可以发函到市发展改革委，我委将协助做好相关查询工作。</w:t>
      </w:r>
      <w:r>
        <w:rPr>
          <w:rFonts w:hint="eastAsia" w:ascii="仿宋" w:hAnsi="仿宋" w:eastAsia="仿宋" w:cs="仿宋"/>
          <w:color w:val="auto"/>
          <w:sz w:val="32"/>
          <w:szCs w:val="32"/>
          <w:lang w:val="en-US" w:eastAsia="zh-CN"/>
        </w:rPr>
        <w:fldChar w:fldCharType="end"/>
      </w:r>
      <w:bookmarkStart w:id="0" w:name="_GoBack"/>
      <w:bookmarkEnd w:id="0"/>
    </w:p>
    <w:p>
      <w:pPr>
        <w:keepNext w:val="0"/>
        <w:keepLines w:val="0"/>
        <w:pageBreakBefore w:val="0"/>
        <w:widowControl w:val="0"/>
        <w:kinsoku/>
        <w:wordWrap w:val="0"/>
        <w:overflowPunct/>
        <w:topLinePunct/>
        <w:autoSpaceDE/>
        <w:autoSpaceDN/>
        <w:bidi w:val="0"/>
        <w:adjustRightInd/>
        <w:snapToGrid/>
        <w:spacing w:line="560" w:lineRule="exact"/>
        <w:ind w:firstLine="640" w:firstLineChars="200"/>
        <w:textAlignment w:val="auto"/>
        <w:rPr>
          <w:rFonts w:hint="eastAsia" w:ascii="Times New Roman" w:hAnsi="Times New Roman" w:eastAsia="仿宋_GB2312" w:cs="Times New Roman"/>
          <w:color w:val="auto"/>
          <w:sz w:val="32"/>
          <w:szCs w:val="32"/>
          <w:lang w:val="en-US" w:eastAsia="zh-CN"/>
        </w:rPr>
      </w:pPr>
      <w:r>
        <w:rPr>
          <w:rFonts w:hint="eastAsia" w:ascii="仿宋" w:hAnsi="仿宋" w:eastAsia="仿宋" w:cs="仿宋"/>
          <w:color w:val="auto"/>
          <w:sz w:val="32"/>
          <w:szCs w:val="32"/>
          <w:lang w:val="en-US" w:eastAsia="zh-CN"/>
        </w:rPr>
        <w:t>1.</w:t>
      </w:r>
      <w:r>
        <w:rPr>
          <w:rFonts w:hint="eastAsia" w:ascii="Times New Roman" w:hAnsi="Times New Roman" w:eastAsia="仿宋_GB2312" w:cs="Times New Roman"/>
          <w:color w:val="auto"/>
          <w:sz w:val="32"/>
          <w:szCs w:val="32"/>
          <w:lang w:val="en-US" w:eastAsia="zh-CN"/>
        </w:rPr>
        <w:t>通过“信用中国”首页（https://www.creditchina.gov.cn/）查询，支持行政相对人名称模糊查询，但是查询结果必须点击进入详情界面才能显示。</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left"/>
        <w:textAlignment w:val="auto"/>
        <w:rPr>
          <w:color w:val="auto"/>
        </w:rPr>
      </w:pPr>
      <w:r>
        <w:rPr>
          <w:color w:val="auto"/>
        </w:rPr>
        <w:drawing>
          <wp:inline distT="0" distB="0" distL="114300" distR="114300">
            <wp:extent cx="5268595" cy="2866390"/>
            <wp:effectExtent l="0" t="0" r="825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5268595" cy="2866390"/>
                    </a:xfrm>
                    <a:prstGeom prst="rect">
                      <a:avLst/>
                    </a:prstGeom>
                    <a:noFill/>
                    <a:ln>
                      <a:noFill/>
                    </a:ln>
                  </pic:spPr>
                </pic:pic>
              </a:graphicData>
            </a:graphic>
          </wp:inline>
        </w:drawing>
      </w:r>
      <w:r>
        <w:rPr>
          <w:color w:val="auto"/>
        </w:rPr>
        <w:drawing>
          <wp:inline distT="0" distB="0" distL="114300" distR="114300">
            <wp:extent cx="5266055" cy="2785745"/>
            <wp:effectExtent l="0" t="0" r="10795" b="146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5266055" cy="2785745"/>
                    </a:xfrm>
                    <a:prstGeom prst="rect">
                      <a:avLst/>
                    </a:prstGeom>
                    <a:noFill/>
                    <a:ln>
                      <a:noFill/>
                    </a:ln>
                  </pic:spPr>
                </pic:pic>
              </a:graphicData>
            </a:graphic>
          </wp:inline>
        </w:drawing>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left"/>
        <w:textAlignment w:val="auto"/>
        <w:rPr>
          <w:color w:val="auto"/>
        </w:rPr>
      </w:pP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left"/>
        <w:textAlignment w:val="auto"/>
        <w:rPr>
          <w:color w:val="auto"/>
        </w:rPr>
      </w:pPr>
      <w:r>
        <w:rPr>
          <w:color w:val="auto"/>
        </w:rPr>
        <w:drawing>
          <wp:inline distT="0" distB="0" distL="114300" distR="114300">
            <wp:extent cx="5269230" cy="3997960"/>
            <wp:effectExtent l="0" t="0" r="7620" b="254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8"/>
                    <a:stretch>
                      <a:fillRect/>
                    </a:stretch>
                  </pic:blipFill>
                  <pic:spPr>
                    <a:xfrm>
                      <a:off x="0" y="0"/>
                      <a:ext cx="5269230" cy="3997960"/>
                    </a:xfrm>
                    <a:prstGeom prst="rect">
                      <a:avLst/>
                    </a:prstGeom>
                    <a:noFill/>
                    <a:ln>
                      <a:noFill/>
                    </a:ln>
                  </pic:spPr>
                </pic:pic>
              </a:graphicData>
            </a:graphic>
          </wp:inline>
        </w:drawing>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left"/>
        <w:textAlignment w:val="auto"/>
        <w:rPr>
          <w:rFonts w:hint="eastAsia"/>
          <w:color w:val="auto"/>
          <w:lang w:val="en-US" w:eastAsia="zh-CN"/>
        </w:rPr>
      </w:pPr>
    </w:p>
    <w:p>
      <w:pPr>
        <w:keepNext w:val="0"/>
        <w:keepLines w:val="0"/>
        <w:pageBreakBefore w:val="0"/>
        <w:widowControl w:val="0"/>
        <w:numPr>
          <w:ilvl w:val="0"/>
          <w:numId w:val="0"/>
        </w:numPr>
        <w:kinsoku/>
        <w:wordWrap w:val="0"/>
        <w:overflowPunct/>
        <w:topLinePunct/>
        <w:autoSpaceDE/>
        <w:autoSpaceDN/>
        <w:bidi w:val="0"/>
        <w:adjustRightInd w:val="0"/>
        <w:snapToGrid w:val="0"/>
        <w:spacing w:line="560" w:lineRule="exact"/>
        <w:ind w:leftChars="0" w:firstLine="640" w:firstLineChars="200"/>
        <w:jc w:val="left"/>
        <w:textAlignment w:val="auto"/>
        <w:rPr>
          <w:rFonts w:hint="eastAsia" w:ascii="仿宋" w:hAnsi="仿宋" w:eastAsia="仿宋" w:cs="仿宋"/>
          <w:color w:val="auto"/>
          <w:sz w:val="32"/>
          <w:szCs w:val="32"/>
          <w:lang w:val="en-US" w:eastAsia="zh-CN"/>
        </w:rPr>
      </w:pPr>
      <w:r>
        <w:rPr>
          <w:rFonts w:hint="eastAsia" w:ascii="Times New Roman" w:hAnsi="Times New Roman" w:eastAsia="仿宋_GB2312" w:cs="Times New Roman"/>
          <w:color w:val="auto"/>
          <w:sz w:val="32"/>
          <w:szCs w:val="32"/>
          <w:lang w:val="en-US" w:eastAsia="zh-CN"/>
        </w:rPr>
        <w:t>2.通过</w:t>
      </w:r>
      <w:r>
        <w:rPr>
          <w:rFonts w:hint="eastAsia" w:ascii="仿宋" w:hAnsi="仿宋" w:eastAsia="仿宋" w:cs="仿宋"/>
          <w:color w:val="auto"/>
          <w:sz w:val="32"/>
          <w:szCs w:val="32"/>
          <w:lang w:val="en-US" w:eastAsia="zh-CN"/>
        </w:rPr>
        <w:t>“信用中国”网站“信用服务”栏目（网址：</w:t>
      </w:r>
      <w:r>
        <w:rPr>
          <w:rFonts w:hint="eastAsia" w:ascii="仿宋" w:hAnsi="仿宋" w:eastAsia="仿宋" w:cs="仿宋"/>
          <w:color w:val="auto"/>
          <w:sz w:val="32"/>
          <w:szCs w:val="32"/>
          <w:lang w:val="en-US" w:eastAsia="zh-CN"/>
        </w:rPr>
        <w:fldChar w:fldCharType="begin"/>
      </w:r>
      <w:r>
        <w:rPr>
          <w:rFonts w:hint="eastAsia" w:ascii="仿宋" w:hAnsi="仿宋" w:eastAsia="仿宋" w:cs="仿宋"/>
          <w:color w:val="auto"/>
          <w:sz w:val="32"/>
          <w:szCs w:val="32"/>
          <w:lang w:val="en-US" w:eastAsia="zh-CN"/>
        </w:rPr>
        <w:instrText xml:space="preserve"> HYPERLINK "https://www.creditchina.gov.cn/xinyongfuwu/?navPage=4），查询行政相对人是否属于\“守信激励对象\”或\“失信惩戒对象\”，对确属于联合奖惩对象的行政相对人主体启动联合奖惩措施。如需批量查询多个市场主体是否是联合奖惩对象，可以发函到市发展改革委，我委将协助做好相关查询工作。" </w:instrText>
      </w:r>
      <w:r>
        <w:rPr>
          <w:rFonts w:hint="eastAsia" w:ascii="仿宋" w:hAnsi="仿宋" w:eastAsia="仿宋" w:cs="仿宋"/>
          <w:color w:val="auto"/>
          <w:sz w:val="32"/>
          <w:szCs w:val="32"/>
          <w:lang w:val="en-US" w:eastAsia="zh-CN"/>
        </w:rPr>
        <w:fldChar w:fldCharType="separate"/>
      </w:r>
      <w:r>
        <w:rPr>
          <w:rFonts w:hint="eastAsia" w:ascii="仿宋" w:hAnsi="仿宋" w:eastAsia="仿宋" w:cs="仿宋"/>
          <w:color w:val="auto"/>
          <w:sz w:val="32"/>
          <w:szCs w:val="32"/>
          <w:lang w:val="en-US" w:eastAsia="zh-CN"/>
        </w:rPr>
        <w:t>https://www.creditchina.gov.cn/xinyongfuwu/）查询，行政相对人名称必须准确，直接反馈是否</w:t>
      </w:r>
      <w:r>
        <w:rPr>
          <w:rFonts w:hint="eastAsia" w:ascii="仿宋" w:hAnsi="仿宋" w:eastAsia="仿宋" w:cs="仿宋"/>
          <w:color w:val="auto"/>
          <w:sz w:val="32"/>
          <w:szCs w:val="32"/>
          <w:lang w:val="en-US" w:eastAsia="zh-CN"/>
        </w:rPr>
        <w:fldChar w:fldCharType="end"/>
      </w:r>
      <w:r>
        <w:rPr>
          <w:rFonts w:hint="eastAsia" w:ascii="仿宋" w:hAnsi="仿宋" w:eastAsia="仿宋" w:cs="仿宋"/>
          <w:color w:val="auto"/>
          <w:sz w:val="32"/>
          <w:szCs w:val="32"/>
          <w:lang w:val="en-US" w:eastAsia="zh-CN"/>
        </w:rPr>
        <w:t>是“守信激励对象”或“失信惩戒对象”，详细信息点击企业名称查询。</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Chars="0"/>
        <w:jc w:val="left"/>
        <w:textAlignment w:val="auto"/>
        <w:rPr>
          <w:color w:val="auto"/>
        </w:rPr>
      </w:pPr>
      <w:r>
        <w:rPr>
          <w:color w:val="auto"/>
        </w:rPr>
        <w:drawing>
          <wp:inline distT="0" distB="0" distL="114300" distR="114300">
            <wp:extent cx="5258435" cy="2816225"/>
            <wp:effectExtent l="0" t="0" r="18415"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5258435" cy="2816225"/>
                    </a:xfrm>
                    <a:prstGeom prst="rect">
                      <a:avLst/>
                    </a:prstGeom>
                    <a:noFill/>
                    <a:ln>
                      <a:noFill/>
                    </a:ln>
                  </pic:spPr>
                </pic:pic>
              </a:graphicData>
            </a:graphic>
          </wp:inline>
        </w:drawing>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Chars="0"/>
        <w:jc w:val="left"/>
        <w:textAlignment w:val="auto"/>
        <w:rPr>
          <w:rFonts w:hint="default" w:ascii="Times New Roman" w:hAnsi="Times New Roman" w:eastAsia="仿宋_GB2312" w:cs="Times New Roman"/>
          <w:color w:val="auto"/>
          <w:sz w:val="32"/>
          <w:szCs w:val="32"/>
          <w:lang w:val="en-US" w:eastAsia="zh-CN"/>
        </w:rPr>
      </w:pPr>
      <w:r>
        <w:rPr>
          <w:color w:val="auto"/>
        </w:rPr>
        <w:drawing>
          <wp:inline distT="0" distB="0" distL="114300" distR="114300">
            <wp:extent cx="5271135" cy="3717925"/>
            <wp:effectExtent l="0" t="0" r="5715" b="158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271135" cy="3717925"/>
                    </a:xfrm>
                    <a:prstGeom prst="rect">
                      <a:avLst/>
                    </a:prstGeom>
                    <a:noFill/>
                    <a:ln>
                      <a:noFill/>
                    </a:ln>
                  </pic:spPr>
                </pic:pic>
              </a:graphicData>
            </a:graphic>
          </wp:inline>
        </w:drawing>
      </w:r>
    </w:p>
    <w:p>
      <w:pPr>
        <w:keepNext w:val="0"/>
        <w:keepLines w:val="0"/>
        <w:pageBreakBefore w:val="0"/>
        <w:widowControl w:val="0"/>
        <w:numPr>
          <w:ilvl w:val="0"/>
          <w:numId w:val="1"/>
        </w:numPr>
        <w:kinsoku/>
        <w:wordWrap/>
        <w:overflowPunct/>
        <w:topLinePunct w:val="0"/>
        <w:autoSpaceDE w:val="0"/>
        <w:autoSpaceDN w:val="0"/>
        <w:bidi w:val="0"/>
        <w:adjustRightInd w:val="0"/>
        <w:snapToGrid w:val="0"/>
        <w:spacing w:line="560" w:lineRule="exact"/>
        <w:ind w:firstLine="640" w:firstLineChars="200"/>
        <w:jc w:val="left"/>
        <w:textAlignment w:val="auto"/>
        <w:rPr>
          <w:rFonts w:hint="default" w:ascii="Times New Roman" w:hAnsi="Times New Roman" w:eastAsia="黑体" w:cs="Times New Roman"/>
          <w:color w:val="auto"/>
          <w:sz w:val="32"/>
          <w:szCs w:val="32"/>
          <w:lang w:val="en-US" w:eastAsia="zh-CN"/>
        </w:rPr>
      </w:pPr>
      <w:r>
        <w:rPr>
          <w:rFonts w:hint="default" w:ascii="Times New Roman" w:hAnsi="Times New Roman" w:eastAsia="黑体" w:cs="Times New Roman"/>
          <w:color w:val="auto"/>
          <w:sz w:val="32"/>
          <w:szCs w:val="32"/>
          <w:lang w:val="en-US" w:eastAsia="zh-CN"/>
        </w:rPr>
        <w:t>联合奖惩案例报送</w:t>
      </w:r>
    </w:p>
    <w:p>
      <w:pPr>
        <w:keepNext w:val="0"/>
        <w:keepLines w:val="0"/>
        <w:pageBreakBefore w:val="0"/>
        <w:widowControl w:val="0"/>
        <w:numPr>
          <w:ilvl w:val="0"/>
          <w:numId w:val="0"/>
        </w:numPr>
        <w:kinsoku/>
        <w:wordWrap/>
        <w:overflowPunct/>
        <w:topLinePunct w:val="0"/>
        <w:autoSpaceDE w:val="0"/>
        <w:autoSpaceDN w:val="0"/>
        <w:bidi w:val="0"/>
        <w:adjustRightInd w:val="0"/>
        <w:snapToGrid w:val="0"/>
        <w:spacing w:line="560" w:lineRule="exact"/>
        <w:ind w:firstLine="640" w:firstLineChars="200"/>
        <w:jc w:val="left"/>
        <w:textAlignment w:val="auto"/>
        <w:rPr>
          <w:rFonts w:hint="default" w:ascii="Times New Roman" w:hAnsi="Times New Roman" w:eastAsia="仿宋_GB2312" w:cs="Times New Roman"/>
          <w:color w:val="auto"/>
          <w:sz w:val="32"/>
          <w:szCs w:val="32"/>
          <w:u w:val="none"/>
          <w:lang w:val="en-US" w:eastAsia="zh-CN"/>
        </w:rPr>
      </w:pPr>
      <w:r>
        <w:rPr>
          <w:rFonts w:hint="default" w:ascii="Times New Roman" w:hAnsi="Times New Roman" w:eastAsia="仿宋_GB2312" w:cs="Times New Roman"/>
          <w:color w:val="auto"/>
          <w:sz w:val="32"/>
          <w:szCs w:val="32"/>
          <w:lang w:val="en-US" w:eastAsia="zh-CN"/>
        </w:rPr>
        <w:t>各部门于每月20日前将联合奖惩案例（报送模板详见附件</w:t>
      </w:r>
      <w:r>
        <w:rPr>
          <w:rFonts w:hint="eastAsia" w:ascii="Times New Roman" w:hAnsi="Times New Roman" w:eastAsia="仿宋_GB2312" w:cs="Times New Roman"/>
          <w:color w:val="auto"/>
          <w:sz w:val="32"/>
          <w:szCs w:val="32"/>
          <w:lang w:val="en-US" w:eastAsia="zh-CN"/>
        </w:rPr>
        <w:t>5</w:t>
      </w:r>
      <w:r>
        <w:rPr>
          <w:rFonts w:hint="default" w:ascii="Times New Roman" w:hAnsi="Times New Roman" w:eastAsia="仿宋_GB2312" w:cs="Times New Roman"/>
          <w:color w:val="auto"/>
          <w:sz w:val="32"/>
          <w:szCs w:val="32"/>
          <w:lang w:val="en-US" w:eastAsia="zh-CN"/>
        </w:rPr>
        <w:t>）报送至市发展改革委邮箱</w:t>
      </w:r>
      <w:r>
        <w:rPr>
          <w:rFonts w:hint="default" w:ascii="Times New Roman" w:hAnsi="Times New Roman" w:eastAsia="仿宋_GB2312" w:cs="Times New Roman"/>
          <w:color w:val="auto"/>
          <w:sz w:val="32"/>
          <w:szCs w:val="32"/>
          <w:u w:val="none"/>
          <w:lang w:val="en-US" w:eastAsia="zh-CN"/>
        </w:rPr>
        <w:t>：</w:t>
      </w:r>
      <w:r>
        <w:rPr>
          <w:rFonts w:hint="default" w:ascii="Times New Roman" w:hAnsi="Times New Roman" w:eastAsia="仿宋_GB2312" w:cs="Times New Roman"/>
          <w:color w:val="auto"/>
          <w:sz w:val="32"/>
          <w:szCs w:val="32"/>
          <w:u w:val="none"/>
          <w:lang w:val="en-US" w:eastAsia="zh-CN"/>
        </w:rPr>
        <w:fldChar w:fldCharType="begin"/>
      </w:r>
      <w:r>
        <w:rPr>
          <w:rFonts w:hint="default" w:ascii="Times New Roman" w:hAnsi="Times New Roman" w:eastAsia="仿宋_GB2312" w:cs="Times New Roman"/>
          <w:color w:val="auto"/>
          <w:sz w:val="32"/>
          <w:szCs w:val="32"/>
          <w:u w:val="none"/>
          <w:lang w:val="en-US" w:eastAsia="zh-CN"/>
        </w:rPr>
        <w:instrText xml:space="preserve"> HYPERLINK "mailto:xywz3823004@126.com。" </w:instrText>
      </w:r>
      <w:r>
        <w:rPr>
          <w:rFonts w:hint="default" w:ascii="Times New Roman" w:hAnsi="Times New Roman" w:eastAsia="仿宋_GB2312" w:cs="Times New Roman"/>
          <w:color w:val="auto"/>
          <w:sz w:val="32"/>
          <w:szCs w:val="32"/>
          <w:u w:val="none"/>
          <w:lang w:val="en-US" w:eastAsia="zh-CN"/>
        </w:rPr>
        <w:fldChar w:fldCharType="separate"/>
      </w:r>
      <w:r>
        <w:rPr>
          <w:rStyle w:val="6"/>
          <w:rFonts w:hint="default" w:ascii="Times New Roman" w:hAnsi="Times New Roman" w:eastAsia="仿宋_GB2312" w:cs="Times New Roman"/>
          <w:color w:val="auto"/>
          <w:sz w:val="32"/>
          <w:szCs w:val="32"/>
          <w:u w:val="none"/>
          <w:lang w:val="en-US" w:eastAsia="zh-CN"/>
        </w:rPr>
        <w:t>xywz3823004@126.com。</w:t>
      </w:r>
      <w:r>
        <w:rPr>
          <w:rFonts w:hint="default" w:ascii="Times New Roman" w:hAnsi="Times New Roman" w:eastAsia="仿宋_GB2312" w:cs="Times New Roman"/>
          <w:color w:val="auto"/>
          <w:sz w:val="32"/>
          <w:szCs w:val="32"/>
          <w:u w:val="none"/>
          <w:lang w:val="en-US" w:eastAsia="zh-CN"/>
        </w:rPr>
        <w:fldChar w:fldCharType="end"/>
      </w:r>
      <w:r>
        <w:rPr>
          <w:rFonts w:hint="default" w:ascii="Times New Roman" w:hAnsi="Times New Roman" w:eastAsia="仿宋_GB2312" w:cs="Times New Roman"/>
          <w:color w:val="auto"/>
          <w:sz w:val="32"/>
          <w:szCs w:val="32"/>
          <w:u w:val="none"/>
          <w:lang w:val="en-US" w:eastAsia="zh-CN"/>
        </w:rPr>
        <w:t>联系人：黄丽梅、王美华，联系电话：3883555、3823004</w:t>
      </w:r>
      <w:r>
        <w:rPr>
          <w:rFonts w:hint="eastAsia" w:ascii="Times New Roman" w:hAnsi="Times New Roman" w:eastAsia="仿宋_GB2312" w:cs="Times New Roman"/>
          <w:color w:val="auto"/>
          <w:sz w:val="32"/>
          <w:szCs w:val="32"/>
          <w:u w:val="none"/>
          <w:lang w:val="en-US" w:eastAsia="zh-CN"/>
        </w:rPr>
        <w:t>。</w:t>
      </w:r>
    </w:p>
    <w:p>
      <w:pPr>
        <w:keepNext w:val="0"/>
        <w:keepLines w:val="0"/>
        <w:pageBreakBefore w:val="0"/>
        <w:widowControl w:val="0"/>
        <w:numPr>
          <w:ilvl w:val="0"/>
          <w:numId w:val="0"/>
        </w:numPr>
        <w:kinsoku/>
        <w:wordWrap/>
        <w:overflowPunct/>
        <w:topLinePunct w:val="0"/>
        <w:bidi w:val="0"/>
        <w:spacing w:line="560" w:lineRule="exact"/>
        <w:ind w:firstLine="640"/>
        <w:jc w:val="left"/>
        <w:textAlignment w:val="auto"/>
        <w:rPr>
          <w:rFonts w:hint="default" w:ascii="Times New Roman" w:hAnsi="Times New Roman" w:eastAsia="黑体" w:cs="Times New Roman"/>
          <w:color w:val="auto"/>
          <w:sz w:val="32"/>
          <w:szCs w:val="32"/>
          <w:lang w:val="en-US" w:eastAsia="zh-CN"/>
        </w:rPr>
      </w:pPr>
      <w:r>
        <w:rPr>
          <w:rFonts w:hint="default" w:ascii="Times New Roman" w:hAnsi="Times New Roman" w:eastAsia="黑体" w:cs="Times New Roman"/>
          <w:color w:val="auto"/>
          <w:sz w:val="32"/>
          <w:szCs w:val="32"/>
          <w:lang w:val="en-US" w:eastAsia="zh-CN"/>
        </w:rPr>
        <w:t>三、信用联合奖惩实施要求</w:t>
      </w:r>
    </w:p>
    <w:p>
      <w:pPr>
        <w:keepNext w:val="0"/>
        <w:keepLines w:val="0"/>
        <w:pageBreakBefore w:val="0"/>
        <w:widowControl w:val="0"/>
        <w:numPr>
          <w:ilvl w:val="0"/>
          <w:numId w:val="0"/>
        </w:numPr>
        <w:kinsoku/>
        <w:wordWrap/>
        <w:overflowPunct/>
        <w:topLinePunct w:val="0"/>
        <w:bidi w:val="0"/>
        <w:spacing w:line="560" w:lineRule="exact"/>
        <w:ind w:firstLine="640"/>
        <w:jc w:val="left"/>
        <w:textAlignment w:val="auto"/>
        <w:rPr>
          <w:rFonts w:hint="default" w:ascii="Times New Roman" w:hAnsi="Times New Roman" w:eastAsia="楷体_GB2312" w:cs="Times New Roman"/>
          <w:b/>
          <w:bCs/>
          <w:color w:val="auto"/>
          <w:sz w:val="32"/>
          <w:szCs w:val="32"/>
          <w:lang w:val="en-US" w:eastAsia="zh-CN"/>
        </w:rPr>
      </w:pPr>
      <w:r>
        <w:rPr>
          <w:rFonts w:hint="default" w:ascii="Times New Roman" w:hAnsi="Times New Roman" w:eastAsia="楷体_GB2312" w:cs="Times New Roman"/>
          <w:b/>
          <w:bCs/>
          <w:color w:val="auto"/>
          <w:sz w:val="32"/>
          <w:szCs w:val="32"/>
          <w:lang w:val="en-US" w:eastAsia="zh-CN"/>
        </w:rPr>
        <w:t>（一）规范奖惩对象认定程序</w:t>
      </w:r>
    </w:p>
    <w:p>
      <w:pPr>
        <w:keepNext w:val="0"/>
        <w:keepLines w:val="0"/>
        <w:pageBreakBefore w:val="0"/>
        <w:widowControl w:val="0"/>
        <w:numPr>
          <w:ilvl w:val="0"/>
          <w:numId w:val="0"/>
        </w:numPr>
        <w:kinsoku/>
        <w:wordWrap/>
        <w:overflowPunct/>
        <w:topLinePunct w:val="0"/>
        <w:bidi w:val="0"/>
        <w:spacing w:line="560" w:lineRule="exact"/>
        <w:ind w:firstLine="640"/>
        <w:jc w:val="left"/>
        <w:textAlignment w:val="auto"/>
        <w:rPr>
          <w:rFonts w:hint="default" w:ascii="Times New Roman" w:hAnsi="Times New Roman" w:eastAsia="仿宋_GB2312" w:cs="Times New Roman"/>
          <w:color w:val="auto"/>
          <w:sz w:val="32"/>
          <w:szCs w:val="32"/>
          <w:lang w:val="en-US" w:eastAsia="zh-CN"/>
        </w:rPr>
      </w:pPr>
      <w:r>
        <w:rPr>
          <w:rFonts w:hint="default" w:ascii="Times New Roman" w:hAnsi="Times New Roman" w:eastAsia="仿宋_GB2312" w:cs="Times New Roman"/>
          <w:color w:val="auto"/>
          <w:sz w:val="32"/>
          <w:szCs w:val="32"/>
          <w:lang w:val="en-US" w:eastAsia="zh-CN"/>
        </w:rPr>
        <w:t>各部门应根据国家部委签署的守信联合激励和失信联合惩戒备忘录，以国家统一的“红黑名单”的认定标准为原则，对奖惩对象的认定规则和程序进行规范</w:t>
      </w:r>
      <w:r>
        <w:rPr>
          <w:rFonts w:hint="eastAsia" w:ascii="Times New Roman" w:hAnsi="Times New Roman" w:eastAsia="仿宋_GB2312" w:cs="Times New Roman"/>
          <w:color w:val="auto"/>
          <w:sz w:val="32"/>
          <w:szCs w:val="32"/>
          <w:lang w:val="en-US" w:eastAsia="zh-CN"/>
        </w:rPr>
        <w:t>，并将认定的奖惩对象通过梧州市公共信用信息平台报送至市发展改革委，同步在信用中国（广西梧州）网站公示</w:t>
      </w:r>
      <w:r>
        <w:rPr>
          <w:rFonts w:hint="default" w:ascii="Times New Roman" w:hAnsi="Times New Roman" w:eastAsia="仿宋_GB2312" w:cs="Times New Roman"/>
          <w:color w:val="auto"/>
          <w:sz w:val="32"/>
          <w:szCs w:val="32"/>
          <w:lang w:val="en-US" w:eastAsia="zh-CN"/>
        </w:rPr>
        <w:t>。</w:t>
      </w:r>
    </w:p>
    <w:p>
      <w:pPr>
        <w:keepNext w:val="0"/>
        <w:keepLines w:val="0"/>
        <w:pageBreakBefore w:val="0"/>
        <w:widowControl w:val="0"/>
        <w:numPr>
          <w:ilvl w:val="0"/>
          <w:numId w:val="2"/>
        </w:numPr>
        <w:kinsoku/>
        <w:wordWrap/>
        <w:overflowPunct/>
        <w:topLinePunct w:val="0"/>
        <w:bidi w:val="0"/>
        <w:spacing w:line="560" w:lineRule="exact"/>
        <w:ind w:firstLine="640"/>
        <w:jc w:val="left"/>
        <w:textAlignment w:val="auto"/>
        <w:rPr>
          <w:rFonts w:hint="default" w:ascii="Times New Roman" w:hAnsi="Times New Roman" w:eastAsia="楷体_GB2312" w:cs="Times New Roman"/>
          <w:b/>
          <w:bCs/>
          <w:color w:val="auto"/>
          <w:sz w:val="32"/>
          <w:szCs w:val="32"/>
          <w:lang w:val="en-US" w:eastAsia="zh-CN"/>
        </w:rPr>
      </w:pPr>
      <w:r>
        <w:rPr>
          <w:rFonts w:hint="default" w:ascii="Times New Roman" w:hAnsi="Times New Roman" w:eastAsia="楷体_GB2312" w:cs="Times New Roman"/>
          <w:b/>
          <w:bCs/>
          <w:color w:val="auto"/>
          <w:sz w:val="32"/>
          <w:szCs w:val="32"/>
          <w:lang w:val="en-US" w:eastAsia="zh-CN"/>
        </w:rPr>
        <w:t>建立健全“红黑名单”退出、奖惩解除机制</w:t>
      </w:r>
    </w:p>
    <w:p>
      <w:pPr>
        <w:keepNext w:val="0"/>
        <w:keepLines w:val="0"/>
        <w:pageBreakBefore w:val="0"/>
        <w:widowControl w:val="0"/>
        <w:numPr>
          <w:ilvl w:val="0"/>
          <w:numId w:val="0"/>
        </w:numPr>
        <w:kinsoku/>
        <w:wordWrap/>
        <w:overflowPunct/>
        <w:topLinePunct w:val="0"/>
        <w:bidi w:val="0"/>
        <w:spacing w:line="560" w:lineRule="exact"/>
        <w:ind w:firstLine="640"/>
        <w:jc w:val="left"/>
        <w:textAlignment w:val="auto"/>
        <w:rPr>
          <w:rFonts w:hint="default" w:ascii="Times New Roman" w:hAnsi="Times New Roman" w:eastAsia="仿宋_GB2312" w:cs="Times New Roman"/>
          <w:color w:val="auto"/>
          <w:sz w:val="32"/>
          <w:szCs w:val="32"/>
          <w:lang w:val="en-US" w:eastAsia="zh-CN"/>
        </w:rPr>
      </w:pPr>
      <w:r>
        <w:rPr>
          <w:rFonts w:hint="default" w:ascii="Times New Roman" w:hAnsi="Times New Roman" w:eastAsia="仿宋_GB2312" w:cs="Times New Roman"/>
          <w:color w:val="auto"/>
          <w:sz w:val="32"/>
          <w:szCs w:val="32"/>
          <w:lang w:val="en-US" w:eastAsia="zh-CN"/>
        </w:rPr>
        <w:t>对联合惩戒期限届满，或因纠正失信行为、消除不良影响且退出联合惩戒对象的市场主体，以及因发生失信行为、造成不良影响且退出联合激励对象的市场主体，发起部门要及时报送上级部门，从信用中国网站撤下，联合奖惩部门应及时停止对其实施联合奖惩措施实施。</w:t>
      </w:r>
    </w:p>
    <w:p>
      <w:pPr>
        <w:keepNext w:val="0"/>
        <w:keepLines w:val="0"/>
        <w:pageBreakBefore w:val="0"/>
        <w:widowControl w:val="0"/>
        <w:numPr>
          <w:ilvl w:val="0"/>
          <w:numId w:val="0"/>
        </w:numPr>
        <w:kinsoku/>
        <w:wordWrap/>
        <w:overflowPunct/>
        <w:topLinePunct w:val="0"/>
        <w:autoSpaceDE w:val="0"/>
        <w:autoSpaceDN w:val="0"/>
        <w:bidi w:val="0"/>
        <w:adjustRightInd w:val="0"/>
        <w:snapToGrid w:val="0"/>
        <w:spacing w:line="560" w:lineRule="exact"/>
        <w:jc w:val="left"/>
        <w:textAlignment w:val="auto"/>
        <w:rPr>
          <w:rFonts w:hint="default" w:ascii="Times New Roman" w:hAnsi="Times New Roman" w:eastAsia="黑体" w:cs="Times New Roman"/>
          <w:color w:val="auto"/>
          <w:sz w:val="32"/>
          <w:szCs w:val="32"/>
          <w:u w:val="none"/>
          <w:lang w:val="en-US" w:eastAsia="zh-CN"/>
        </w:rPr>
      </w:pPr>
      <w:r>
        <w:rPr>
          <w:rFonts w:hint="default" w:ascii="Times New Roman" w:hAnsi="Times New Roman" w:eastAsia="黑体" w:cs="Times New Roman"/>
          <w:color w:val="auto"/>
          <w:sz w:val="32"/>
          <w:szCs w:val="32"/>
          <w:u w:val="none"/>
          <w:lang w:val="en-US" w:eastAsia="zh-CN"/>
        </w:rPr>
        <w:t xml:space="preserve">    四、其他</w:t>
      </w:r>
      <w:r>
        <w:rPr>
          <w:rFonts w:hint="eastAsia" w:ascii="Times New Roman" w:hAnsi="Times New Roman" w:eastAsia="黑体" w:cs="Times New Roman"/>
          <w:color w:val="auto"/>
          <w:sz w:val="32"/>
          <w:szCs w:val="32"/>
          <w:u w:val="none"/>
          <w:lang w:val="en-US" w:eastAsia="zh-CN"/>
        </w:rPr>
        <w:t>事项</w:t>
      </w:r>
    </w:p>
    <w:p>
      <w:pPr>
        <w:keepNext w:val="0"/>
        <w:keepLines w:val="0"/>
        <w:widowControl/>
        <w:suppressLineNumbers w:val="0"/>
        <w:ind w:firstLine="638" w:firstLineChars="200"/>
        <w:jc w:val="left"/>
        <w:rPr>
          <w:rFonts w:hint="default" w:ascii="Times New Roman" w:hAnsi="Times New Roman" w:eastAsia="仿宋_GB2312" w:cs="Times New Roman"/>
          <w:color w:val="auto"/>
          <w:sz w:val="32"/>
          <w:szCs w:val="32"/>
          <w:u w:val="none"/>
          <w:lang w:val="en-US" w:eastAsia="zh-CN"/>
        </w:rPr>
      </w:pPr>
      <w:r>
        <w:rPr>
          <w:rFonts w:ascii="仿宋_GB2312" w:hAnsi="宋体" w:eastAsia="仿宋_GB2312" w:cs="仿宋_GB2312"/>
          <w:color w:val="000000"/>
          <w:kern w:val="0"/>
          <w:sz w:val="31"/>
          <w:szCs w:val="31"/>
          <w:lang w:val="en-US" w:eastAsia="zh-CN" w:bidi="ar"/>
        </w:rPr>
        <w:t>《对象清单》</w:t>
      </w:r>
      <w:r>
        <w:rPr>
          <w:rFonts w:hint="eastAsia" w:ascii="仿宋_GB2312" w:hAnsi="宋体" w:eastAsia="仿宋_GB2312" w:cs="仿宋_GB2312"/>
          <w:color w:val="000000"/>
          <w:kern w:val="0"/>
          <w:sz w:val="31"/>
          <w:szCs w:val="31"/>
          <w:lang w:val="en-US" w:eastAsia="zh-CN" w:bidi="ar"/>
        </w:rPr>
        <w:t>、</w:t>
      </w:r>
      <w:r>
        <w:rPr>
          <w:rFonts w:ascii="仿宋_GB2312" w:hAnsi="宋体" w:eastAsia="仿宋_GB2312" w:cs="仿宋_GB2312"/>
          <w:color w:val="000000"/>
          <w:kern w:val="0"/>
          <w:sz w:val="31"/>
          <w:szCs w:val="31"/>
          <w:lang w:val="en-US" w:eastAsia="zh-CN" w:bidi="ar"/>
        </w:rPr>
        <w:t>《措施清单》</w:t>
      </w:r>
      <w:r>
        <w:rPr>
          <w:rFonts w:hint="default" w:ascii="Times New Roman" w:hAnsi="Times New Roman" w:eastAsia="仿宋_GB2312" w:cs="Times New Roman"/>
          <w:color w:val="auto"/>
          <w:kern w:val="0"/>
          <w:sz w:val="32"/>
          <w:szCs w:val="32"/>
          <w:lang w:val="en-US" w:eastAsia="zh-CN"/>
        </w:rPr>
        <w:t>于印发之日起试行，根据国家联合奖惩工作原则，</w:t>
      </w:r>
      <w:r>
        <w:rPr>
          <w:rFonts w:hint="default" w:ascii="Times New Roman" w:hAnsi="Times New Roman" w:eastAsia="仿宋_GB2312" w:cs="Times New Roman"/>
          <w:color w:val="auto"/>
          <w:sz w:val="32"/>
          <w:szCs w:val="32"/>
          <w:lang w:val="en-US" w:eastAsia="zh-CN"/>
        </w:rPr>
        <w:t>未纳入国家统一认定标准的守信联合激励与失信联合惩戒对象暂不在本联合奖惩实施范围内。</w:t>
      </w:r>
      <w:r>
        <w:rPr>
          <w:rFonts w:ascii="仿宋_GB2312" w:hAnsi="宋体" w:eastAsia="仿宋_GB2312" w:cs="仿宋_GB2312"/>
          <w:color w:val="000000"/>
          <w:kern w:val="0"/>
          <w:sz w:val="31"/>
          <w:szCs w:val="31"/>
          <w:lang w:val="en-US" w:eastAsia="zh-CN" w:bidi="ar"/>
        </w:rPr>
        <w:t>鉴于国家层面联合奖惩备忘录覆盖面不断扩大，以及因</w:t>
      </w:r>
      <w:r>
        <w:rPr>
          <w:rFonts w:hint="eastAsia" w:ascii="仿宋_GB2312" w:hAnsi="宋体" w:eastAsia="仿宋_GB2312" w:cs="仿宋_GB2312"/>
          <w:color w:val="000000"/>
          <w:kern w:val="0"/>
          <w:sz w:val="31"/>
          <w:szCs w:val="31"/>
          <w:lang w:val="en-US" w:eastAsia="zh-CN" w:bidi="ar"/>
        </w:rPr>
        <w:t>机构改革而使得权责范围的不断调整，《对象清单》《措施清单》也将进行动态更新和补充。</w:t>
      </w:r>
      <w:r>
        <w:rPr>
          <w:rFonts w:hint="eastAsia" w:ascii="Times New Roman" w:hAnsi="Times New Roman" w:eastAsia="仿宋_GB2312" w:cs="Times New Roman"/>
          <w:color w:val="auto"/>
          <w:kern w:val="0"/>
          <w:sz w:val="32"/>
          <w:szCs w:val="32"/>
          <w:lang w:val="en-US" w:eastAsia="zh-CN"/>
        </w:rPr>
        <w:t>若查询方式变更，另行通知</w:t>
      </w:r>
      <w:r>
        <w:rPr>
          <w:rFonts w:hint="default" w:ascii="Times New Roman" w:hAnsi="Times New Roman" w:eastAsia="仿宋_GB2312" w:cs="Times New Roman"/>
          <w:color w:val="auto"/>
          <w:kern w:val="0"/>
          <w:sz w:val="32"/>
          <w:szCs w:val="32"/>
          <w:lang w:val="en-US" w:eastAsia="zh-CN"/>
        </w:rPr>
        <w:t>。</w:t>
      </w:r>
    </w:p>
    <w:p>
      <w:pPr>
        <w:keepNext w:val="0"/>
        <w:keepLines w:val="0"/>
        <w:pageBreakBefore w:val="0"/>
        <w:widowControl w:val="0"/>
        <w:numPr>
          <w:ilvl w:val="0"/>
          <w:numId w:val="0"/>
        </w:numPr>
        <w:kinsoku/>
        <w:wordWrap/>
        <w:overflowPunct/>
        <w:topLinePunct w:val="0"/>
        <w:bidi w:val="0"/>
        <w:spacing w:line="560" w:lineRule="exact"/>
        <w:jc w:val="left"/>
        <w:textAlignment w:val="auto"/>
        <w:rPr>
          <w:rFonts w:hint="default" w:ascii="Times New Roman" w:hAnsi="Times New Roman" w:eastAsia="仿宋_GB2312" w:cs="Times New Roman"/>
          <w:color w:val="auto"/>
          <w:sz w:val="32"/>
          <w:szCs w:val="32"/>
          <w:lang w:val="en-US" w:eastAsia="zh-CN"/>
        </w:rPr>
      </w:pPr>
    </w:p>
    <w:sectPr>
      <w:headerReference r:id="rId3" w:type="default"/>
      <w:footerReference r:id="rId4" w:type="default"/>
      <w:pgSz w:w="11906" w:h="16838"/>
      <w:pgMar w:top="2098" w:right="1474" w:bottom="1984" w:left="158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altName w:val="仿宋_GB2312"/>
    <w:panose1 w:val="03000509000000000000"/>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楷体_GB2312">
    <w:altName w:val="楷体"/>
    <w:panose1 w:val="02010609030101010101"/>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FE16514"/>
    <w:multiLevelType w:val="singleLevel"/>
    <w:tmpl w:val="5FE16514"/>
    <w:lvl w:ilvl="0" w:tentative="0">
      <w:start w:val="2"/>
      <w:numFmt w:val="chineseCounting"/>
      <w:suff w:val="nothing"/>
      <w:lvlText w:val="（%1）"/>
      <w:lvlJc w:val="left"/>
    </w:lvl>
  </w:abstractNum>
  <w:abstractNum w:abstractNumId="1">
    <w:nsid w:val="6A16C294"/>
    <w:multiLevelType w:val="singleLevel"/>
    <w:tmpl w:val="6A16C294"/>
    <w:lvl w:ilvl="0" w:tentative="0">
      <w:start w:val="2"/>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79D2AD4"/>
    <w:rsid w:val="079D2AD4"/>
    <w:rsid w:val="0D3349FA"/>
    <w:rsid w:val="19BF1ACB"/>
    <w:rsid w:val="1AE27E8F"/>
    <w:rsid w:val="20D36605"/>
    <w:rsid w:val="272735A6"/>
    <w:rsid w:val="29307268"/>
    <w:rsid w:val="29DD0A33"/>
    <w:rsid w:val="30F03D96"/>
    <w:rsid w:val="32316B0B"/>
    <w:rsid w:val="413E5F8B"/>
    <w:rsid w:val="460D22E0"/>
    <w:rsid w:val="50E43B20"/>
    <w:rsid w:val="50E85531"/>
    <w:rsid w:val="545C0813"/>
    <w:rsid w:val="5EAD5407"/>
    <w:rsid w:val="61286BA7"/>
    <w:rsid w:val="63092470"/>
    <w:rsid w:val="640A6218"/>
    <w:rsid w:val="6CE7506A"/>
    <w:rsid w:val="6E1D12D0"/>
    <w:rsid w:val="6E2F13DA"/>
    <w:rsid w:val="76BD2195"/>
    <w:rsid w:val="77A75EB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styleId="6">
    <w:name w:val="Hyperlink"/>
    <w:basedOn w:val="5"/>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5</TotalTime>
  <ScaleCrop>false</ScaleCrop>
  <LinksUpToDate>false</LinksUpToDate>
  <CharactersWithSpaces>0</CharactersWithSpaces>
  <Application>WPS Office_11.1.0.10228_F1E327BC-269C-435d-A152-05C5408002CA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2020-12-22T02:14:00Z</dcterms:created>
  <dc:creator>Administrator</dc:creator>
  <cp:lastModifiedBy>梁碧云</cp:lastModifiedBy>
  <cp:lastPrinted>2020-12-22T08:40:00Z</cp:lastPrinted>
  <dcterms:modified xsi:type="dcterms:W3CDTF">2020-12-31T07:34:56Z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ies>
</file>